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E6012" w14:textId="73EB3398" w:rsidR="00A1595F" w:rsidRDefault="00A1595F" w:rsidP="009E2BE7">
      <w:pPr>
        <w:jc w:val="both"/>
      </w:pPr>
    </w:p>
    <w:p w14:paraId="5CFBDCF7" w14:textId="494A7AF3" w:rsidR="00B75C10" w:rsidRPr="00B75C10" w:rsidRDefault="00380929" w:rsidP="009E2BE7">
      <w:pPr>
        <w:spacing w:after="200"/>
        <w:jc w:val="right"/>
        <w:rPr>
          <w:rFonts w:ascii="Garamond" w:eastAsia="Calibri" w:hAnsi="Garamond" w:cs="Times New Roman"/>
          <w:sz w:val="24"/>
          <w:szCs w:val="24"/>
          <w:lang w:eastAsia="en-US"/>
        </w:rPr>
      </w:pPr>
      <w:r>
        <w:rPr>
          <w:rFonts w:ascii="Garamond" w:eastAsia="Calibri" w:hAnsi="Garamond" w:cs="Times New Roman"/>
          <w:sz w:val="24"/>
          <w:szCs w:val="24"/>
          <w:lang w:eastAsia="en-US"/>
        </w:rPr>
        <w:t xml:space="preserve">Viernes, 23 de </w:t>
      </w:r>
      <w:proofErr w:type="gramStart"/>
      <w:r>
        <w:rPr>
          <w:rFonts w:ascii="Garamond" w:eastAsia="Calibri" w:hAnsi="Garamond" w:cs="Times New Roman"/>
          <w:sz w:val="24"/>
          <w:szCs w:val="24"/>
          <w:lang w:eastAsia="en-US"/>
        </w:rPr>
        <w:t>Mayo</w:t>
      </w:r>
      <w:proofErr w:type="gramEnd"/>
      <w:r>
        <w:rPr>
          <w:rFonts w:ascii="Garamond" w:eastAsia="Calibri" w:hAnsi="Garamond" w:cs="Times New Roman"/>
          <w:sz w:val="24"/>
          <w:szCs w:val="24"/>
          <w:lang w:eastAsia="en-US"/>
        </w:rPr>
        <w:t xml:space="preserve"> de 2025</w:t>
      </w:r>
    </w:p>
    <w:p w14:paraId="65E4971D" w14:textId="77777777" w:rsidR="009E2BE7" w:rsidRDefault="009E2BE7" w:rsidP="009E2BE7">
      <w:pPr>
        <w:spacing w:after="200"/>
        <w:jc w:val="center"/>
        <w:rPr>
          <w:rFonts w:ascii="Garamond" w:eastAsia="Calibri" w:hAnsi="Garamond" w:cs="Times New Roman"/>
          <w:sz w:val="24"/>
          <w:szCs w:val="24"/>
          <w:lang w:eastAsia="en-US"/>
        </w:rPr>
      </w:pPr>
    </w:p>
    <w:p w14:paraId="267C4A84" w14:textId="1FA430A2" w:rsidR="00380929" w:rsidRPr="00380929" w:rsidRDefault="00380929" w:rsidP="00380929">
      <w:pPr>
        <w:spacing w:after="200"/>
        <w:jc w:val="center"/>
        <w:rPr>
          <w:rFonts w:ascii="Garamond" w:eastAsia="Calibri" w:hAnsi="Garamond" w:cs="Times New Roman"/>
          <w:b/>
          <w:bCs/>
          <w:sz w:val="24"/>
          <w:szCs w:val="24"/>
          <w:lang w:eastAsia="en-US"/>
        </w:rPr>
      </w:pPr>
      <w:r w:rsidRPr="00380929">
        <w:rPr>
          <w:rFonts w:ascii="Garamond" w:eastAsia="Calibri" w:hAnsi="Garamond" w:cs="Times New Roman"/>
          <w:b/>
          <w:bCs/>
          <w:sz w:val="24"/>
          <w:szCs w:val="24"/>
          <w:lang w:eastAsia="en-US"/>
        </w:rPr>
        <w:t>INFORME</w:t>
      </w:r>
    </w:p>
    <w:p w14:paraId="4558D628" w14:textId="3EF03168" w:rsidR="00B75C10" w:rsidRPr="00380929" w:rsidRDefault="00380929" w:rsidP="00380929">
      <w:pPr>
        <w:spacing w:after="200"/>
        <w:jc w:val="center"/>
        <w:rPr>
          <w:rFonts w:ascii="Garamond" w:eastAsia="Calibri" w:hAnsi="Garamond" w:cs="Times New Roman"/>
          <w:b/>
          <w:bCs/>
          <w:sz w:val="24"/>
          <w:szCs w:val="24"/>
          <w:lang w:eastAsia="en-US"/>
        </w:rPr>
      </w:pPr>
      <w:r w:rsidRPr="00380929">
        <w:rPr>
          <w:rFonts w:ascii="Garamond" w:eastAsia="Calibri" w:hAnsi="Garamond" w:cs="Times New Roman"/>
          <w:b/>
          <w:bCs/>
          <w:sz w:val="24"/>
          <w:szCs w:val="24"/>
          <w:lang w:eastAsia="en-US"/>
        </w:rPr>
        <w:t>Decreto PEN 353/2025 – SU APLICACIÓN</w:t>
      </w:r>
    </w:p>
    <w:p w14:paraId="0FD832B8" w14:textId="77777777" w:rsidR="009E2BE7" w:rsidRDefault="009E2BE7" w:rsidP="009E2BE7">
      <w:pPr>
        <w:spacing w:after="200"/>
        <w:jc w:val="both"/>
        <w:rPr>
          <w:rFonts w:ascii="Garamond" w:eastAsia="Calibri" w:hAnsi="Garamond" w:cs="Times New Roman"/>
          <w:sz w:val="24"/>
          <w:szCs w:val="24"/>
          <w:lang w:eastAsia="en-US"/>
        </w:rPr>
      </w:pPr>
    </w:p>
    <w:p w14:paraId="2D0488E8" w14:textId="1C4BC67B" w:rsidR="00380929" w:rsidRPr="00380929" w:rsidRDefault="00380929" w:rsidP="00380929">
      <w:pPr>
        <w:jc w:val="both"/>
        <w:rPr>
          <w:rFonts w:ascii="Garamond" w:eastAsia="Calibri" w:hAnsi="Garamond" w:cs="Times New Roman"/>
          <w:b/>
          <w:bCs/>
          <w:sz w:val="25"/>
          <w:szCs w:val="25"/>
          <w:lang w:eastAsia="es-ES"/>
        </w:rPr>
      </w:pPr>
      <w:r w:rsidRPr="00380929">
        <w:rPr>
          <w:rFonts w:ascii="Garamond" w:eastAsia="Calibri" w:hAnsi="Garamond" w:cs="Times New Roman"/>
          <w:b/>
          <w:bCs/>
          <w:sz w:val="25"/>
          <w:szCs w:val="25"/>
          <w:lang w:eastAsia="es-ES"/>
        </w:rPr>
        <w:t>1. Introducción</w:t>
      </w:r>
    </w:p>
    <w:p w14:paraId="220507D9" w14:textId="77777777" w:rsidR="00380929" w:rsidRPr="00380929" w:rsidRDefault="00380929" w:rsidP="00380929">
      <w:pPr>
        <w:jc w:val="both"/>
        <w:rPr>
          <w:rFonts w:ascii="Garamond" w:eastAsia="Calibri" w:hAnsi="Garamond" w:cs="Times New Roman"/>
          <w:sz w:val="25"/>
          <w:szCs w:val="25"/>
          <w:lang w:eastAsia="es-ES"/>
        </w:rPr>
      </w:pPr>
      <w:r w:rsidRPr="00380929">
        <w:rPr>
          <w:rFonts w:ascii="Garamond" w:eastAsia="Calibri" w:hAnsi="Garamond" w:cs="Times New Roman"/>
          <w:sz w:val="25"/>
          <w:szCs w:val="25"/>
          <w:lang w:eastAsia="es-ES"/>
        </w:rPr>
        <w:t>El Decreto PEN 353/2025 (el “Decreto”), emitido por el Poder Ejecutivo Nacional y publicado con fecha 23/05/2025, establece medidas orientadas a la simplificación y desregulación de trámites relacionados con inversiones y adquisición de bienes, así como a la implementación de un régimen simplificado para la declaración del Impuesto a las Ganancias. Estas disposiciones buscan fomentar la formalización económica, reducir la carga burocrática y promover la inclusión financiera.</w:t>
      </w:r>
    </w:p>
    <w:p w14:paraId="744E7551" w14:textId="77777777" w:rsidR="00380929" w:rsidRPr="00380929" w:rsidRDefault="00380929" w:rsidP="00380929">
      <w:pPr>
        <w:jc w:val="both"/>
        <w:rPr>
          <w:rFonts w:ascii="Garamond" w:eastAsia="Calibri" w:hAnsi="Garamond" w:cs="Times New Roman"/>
          <w:sz w:val="25"/>
          <w:szCs w:val="25"/>
          <w:lang w:eastAsia="es-ES"/>
        </w:rPr>
      </w:pPr>
    </w:p>
    <w:p w14:paraId="360AC1F6" w14:textId="77777777" w:rsidR="00380929" w:rsidRPr="00380929" w:rsidRDefault="00380929" w:rsidP="00380929">
      <w:pPr>
        <w:jc w:val="both"/>
        <w:rPr>
          <w:rFonts w:ascii="Garamond" w:eastAsia="Calibri" w:hAnsi="Garamond" w:cs="Times New Roman"/>
          <w:b/>
          <w:bCs/>
          <w:sz w:val="25"/>
          <w:szCs w:val="25"/>
          <w:lang w:eastAsia="es-ES"/>
        </w:rPr>
      </w:pPr>
      <w:r w:rsidRPr="00380929">
        <w:rPr>
          <w:rFonts w:ascii="Garamond" w:eastAsia="Calibri" w:hAnsi="Garamond" w:cs="Times New Roman"/>
          <w:b/>
          <w:bCs/>
          <w:sz w:val="25"/>
          <w:szCs w:val="25"/>
          <w:lang w:eastAsia="es-ES"/>
        </w:rPr>
        <w:t>2. Simplificación y Desregulación de Trámites</w:t>
      </w:r>
    </w:p>
    <w:p w14:paraId="55BFC1B3" w14:textId="77777777" w:rsidR="00380929" w:rsidRPr="00380929" w:rsidRDefault="00380929" w:rsidP="00380929">
      <w:pPr>
        <w:jc w:val="both"/>
        <w:rPr>
          <w:rFonts w:ascii="Garamond" w:eastAsia="Calibri" w:hAnsi="Garamond" w:cs="Times New Roman"/>
          <w:sz w:val="25"/>
          <w:szCs w:val="25"/>
          <w:lang w:eastAsia="es-ES"/>
        </w:rPr>
      </w:pPr>
      <w:r w:rsidRPr="00380929">
        <w:rPr>
          <w:rFonts w:ascii="Garamond" w:eastAsia="Calibri" w:hAnsi="Garamond" w:cs="Times New Roman"/>
          <w:sz w:val="25"/>
          <w:szCs w:val="25"/>
          <w:lang w:eastAsia="es-ES"/>
        </w:rPr>
        <w:t xml:space="preserve">El artículo 1° del Decreto dispone la simplificación y desregulación de todos los trámites involucrados en la inversión y en la adquisición de bienes, en conformidad con los estándares, buenas prácticas y compromisos internacionales asumidos por la República Argentina. El Banco Central de la República Argentina (BCRA) será responsable de dictar las normas pertinentes para la implementación de estas medidas. </w:t>
      </w:r>
    </w:p>
    <w:p w14:paraId="38A43887" w14:textId="77777777" w:rsidR="00380929" w:rsidRPr="00380929" w:rsidRDefault="00380929" w:rsidP="00380929">
      <w:pPr>
        <w:jc w:val="both"/>
        <w:rPr>
          <w:rFonts w:ascii="Garamond" w:eastAsia="Calibri" w:hAnsi="Garamond" w:cs="Times New Roman"/>
          <w:sz w:val="25"/>
          <w:szCs w:val="25"/>
          <w:lang w:eastAsia="es-ES"/>
        </w:rPr>
      </w:pPr>
    </w:p>
    <w:p w14:paraId="3876C6DF" w14:textId="77777777" w:rsidR="00380929" w:rsidRPr="00380929" w:rsidRDefault="00380929" w:rsidP="00380929">
      <w:pPr>
        <w:jc w:val="both"/>
        <w:rPr>
          <w:rFonts w:ascii="Garamond" w:eastAsia="Calibri" w:hAnsi="Garamond" w:cs="Times New Roman"/>
          <w:b/>
          <w:bCs/>
          <w:sz w:val="25"/>
          <w:szCs w:val="25"/>
          <w:lang w:eastAsia="es-ES"/>
        </w:rPr>
      </w:pPr>
      <w:r w:rsidRPr="00380929">
        <w:rPr>
          <w:rFonts w:ascii="Garamond" w:eastAsia="Calibri" w:hAnsi="Garamond" w:cs="Times New Roman"/>
          <w:b/>
          <w:bCs/>
          <w:sz w:val="25"/>
          <w:szCs w:val="25"/>
          <w:lang w:eastAsia="es-ES"/>
        </w:rPr>
        <w:t>3. Intervención de la Unidad de Información Financiera (UIF)</w:t>
      </w:r>
    </w:p>
    <w:p w14:paraId="3FB8207E" w14:textId="77777777" w:rsidR="00380929" w:rsidRPr="00380929" w:rsidRDefault="00380929" w:rsidP="00380929">
      <w:pPr>
        <w:jc w:val="both"/>
        <w:rPr>
          <w:rFonts w:ascii="Garamond" w:eastAsia="Calibri" w:hAnsi="Garamond" w:cs="Times New Roman"/>
          <w:sz w:val="25"/>
          <w:szCs w:val="25"/>
          <w:lang w:eastAsia="es-ES"/>
        </w:rPr>
      </w:pPr>
      <w:r w:rsidRPr="00380929">
        <w:rPr>
          <w:rFonts w:ascii="Garamond" w:eastAsia="Calibri" w:hAnsi="Garamond" w:cs="Times New Roman"/>
          <w:sz w:val="25"/>
          <w:szCs w:val="25"/>
          <w:lang w:eastAsia="es-ES"/>
        </w:rPr>
        <w:t xml:space="preserve">Según el artículo 2°, la UIF deberá, en un plazo de 30 días desde la </w:t>
      </w:r>
      <w:proofErr w:type="gramStart"/>
      <w:r w:rsidRPr="00380929">
        <w:rPr>
          <w:rFonts w:ascii="Garamond" w:eastAsia="Calibri" w:hAnsi="Garamond" w:cs="Times New Roman"/>
          <w:sz w:val="25"/>
          <w:szCs w:val="25"/>
          <w:lang w:eastAsia="es-ES"/>
        </w:rPr>
        <w:t>entrada en vigencia</w:t>
      </w:r>
      <w:proofErr w:type="gramEnd"/>
      <w:r w:rsidRPr="00380929">
        <w:rPr>
          <w:rFonts w:ascii="Garamond" w:eastAsia="Calibri" w:hAnsi="Garamond" w:cs="Times New Roman"/>
          <w:sz w:val="25"/>
          <w:szCs w:val="25"/>
          <w:lang w:eastAsia="es-ES"/>
        </w:rPr>
        <w:t xml:space="preserve"> del Decreto, evaluar la necesidad de adecuar su normativa en función de las disposiciones contenidas en el mismo, en el marco de la prevención del lavado de activos, la financiación del terrorismo y el financiamiento de la proliferación de armas de destrucción masiva.</w:t>
      </w:r>
    </w:p>
    <w:p w14:paraId="5C33E597" w14:textId="77777777" w:rsidR="00380929" w:rsidRPr="00380929" w:rsidRDefault="00380929" w:rsidP="00380929">
      <w:pPr>
        <w:jc w:val="both"/>
        <w:rPr>
          <w:rFonts w:ascii="Garamond" w:eastAsia="Calibri" w:hAnsi="Garamond" w:cs="Times New Roman"/>
          <w:sz w:val="25"/>
          <w:szCs w:val="25"/>
          <w:lang w:eastAsia="es-ES"/>
        </w:rPr>
      </w:pPr>
    </w:p>
    <w:p w14:paraId="15C3668E" w14:textId="77777777" w:rsidR="00380929" w:rsidRPr="00380929" w:rsidRDefault="00380929" w:rsidP="00380929">
      <w:pPr>
        <w:jc w:val="both"/>
        <w:rPr>
          <w:rFonts w:ascii="Garamond" w:eastAsia="Calibri" w:hAnsi="Garamond" w:cs="Times New Roman"/>
          <w:b/>
          <w:bCs/>
          <w:sz w:val="25"/>
          <w:szCs w:val="25"/>
          <w:lang w:eastAsia="es-ES"/>
        </w:rPr>
      </w:pPr>
      <w:r w:rsidRPr="00380929">
        <w:rPr>
          <w:rFonts w:ascii="Garamond" w:eastAsia="Calibri" w:hAnsi="Garamond" w:cs="Times New Roman"/>
          <w:b/>
          <w:bCs/>
          <w:sz w:val="25"/>
          <w:szCs w:val="25"/>
          <w:lang w:eastAsia="es-ES"/>
        </w:rPr>
        <w:t>4. Régimen Simplificado del Impuesto a las Ganancias</w:t>
      </w:r>
    </w:p>
    <w:p w14:paraId="044214D4" w14:textId="77777777" w:rsidR="00380929" w:rsidRPr="00380929" w:rsidRDefault="00380929" w:rsidP="00380929">
      <w:pPr>
        <w:jc w:val="both"/>
        <w:rPr>
          <w:rFonts w:ascii="Garamond" w:eastAsia="Calibri" w:hAnsi="Garamond" w:cs="Times New Roman"/>
          <w:sz w:val="25"/>
          <w:szCs w:val="25"/>
          <w:lang w:eastAsia="es-ES"/>
        </w:rPr>
      </w:pPr>
      <w:r w:rsidRPr="00380929">
        <w:rPr>
          <w:rFonts w:ascii="Garamond" w:eastAsia="Calibri" w:hAnsi="Garamond" w:cs="Times New Roman"/>
          <w:sz w:val="25"/>
          <w:szCs w:val="25"/>
          <w:lang w:eastAsia="es-ES"/>
        </w:rPr>
        <w:t>El artículo 3° encomienda a la Agencia de Recaudación y Control Aduanero la implementación gradual de una modalidad simplificada y opcional para la declaración del Impuesto a las Ganancias de personas humanas y sucesiones indivisas de residentes, aplicable a los períodos fiscales iniciados a partir del 1° de enero de 2025. Esta modalidad se basará en la información disponible en el organismo y la proporcionada por los contribuyentes, y estará disponible únicamente para quienes obtengan rentas de fuente argentina. Los sujetos comprendidos en esta modalidad quedarán exceptuados de ciertas obligaciones establecidas en la reglamentación vigente del impuesto.</w:t>
      </w:r>
    </w:p>
    <w:p w14:paraId="4F016EC7" w14:textId="77777777" w:rsidR="00380929" w:rsidRPr="00380929" w:rsidRDefault="00380929" w:rsidP="00380929">
      <w:pPr>
        <w:jc w:val="both"/>
        <w:rPr>
          <w:rFonts w:ascii="Garamond" w:eastAsia="Calibri" w:hAnsi="Garamond" w:cs="Times New Roman"/>
          <w:sz w:val="25"/>
          <w:szCs w:val="25"/>
          <w:lang w:eastAsia="es-ES"/>
        </w:rPr>
      </w:pPr>
    </w:p>
    <w:p w14:paraId="7625C82D" w14:textId="77777777" w:rsidR="00380929" w:rsidRPr="00380929" w:rsidRDefault="00380929" w:rsidP="00380929">
      <w:pPr>
        <w:jc w:val="both"/>
        <w:rPr>
          <w:rFonts w:ascii="Garamond" w:eastAsia="Calibri" w:hAnsi="Garamond" w:cs="Times New Roman"/>
          <w:b/>
          <w:bCs/>
          <w:sz w:val="25"/>
          <w:szCs w:val="25"/>
          <w:lang w:eastAsia="es-ES"/>
        </w:rPr>
      </w:pPr>
      <w:r w:rsidRPr="00380929">
        <w:rPr>
          <w:rFonts w:ascii="Garamond" w:eastAsia="Calibri" w:hAnsi="Garamond" w:cs="Times New Roman"/>
          <w:b/>
          <w:bCs/>
          <w:sz w:val="25"/>
          <w:szCs w:val="25"/>
          <w:lang w:eastAsia="es-ES"/>
        </w:rPr>
        <w:t>5. Creación del Sistema de Finanzas Abiertas</w:t>
      </w:r>
    </w:p>
    <w:p w14:paraId="227D6B46" w14:textId="77777777" w:rsidR="00380929" w:rsidRDefault="00380929" w:rsidP="00380929">
      <w:pPr>
        <w:jc w:val="both"/>
        <w:rPr>
          <w:rFonts w:ascii="Garamond" w:eastAsia="Calibri" w:hAnsi="Garamond" w:cs="Times New Roman"/>
          <w:sz w:val="25"/>
          <w:szCs w:val="25"/>
          <w:lang w:eastAsia="es-ES"/>
        </w:rPr>
      </w:pPr>
      <w:r w:rsidRPr="00380929">
        <w:rPr>
          <w:rFonts w:ascii="Garamond" w:eastAsia="Calibri" w:hAnsi="Garamond" w:cs="Times New Roman"/>
          <w:sz w:val="25"/>
          <w:szCs w:val="25"/>
          <w:lang w:eastAsia="es-ES"/>
        </w:rPr>
        <w:t xml:space="preserve">El Decreto establece además la creación de un Sistema de Finanzas Abiertas, que permitirá a personas humanas y jurídicas compartir, con su consentimiento expreso, información con entidades financieras registradas en el BCRA. Este sistema tiene como objetivo facilitar el acceso al crédito, fomentar la competencia y promover la inclusión financiera. El BCRA será la autoridad de aplicación de este </w:t>
      </w:r>
      <w:proofErr w:type="gramStart"/>
      <w:r w:rsidRPr="00380929">
        <w:rPr>
          <w:rFonts w:ascii="Garamond" w:eastAsia="Calibri" w:hAnsi="Garamond" w:cs="Times New Roman"/>
          <w:sz w:val="25"/>
          <w:szCs w:val="25"/>
          <w:lang w:eastAsia="es-ES"/>
        </w:rPr>
        <w:t>sistema</w:t>
      </w:r>
      <w:proofErr w:type="gramEnd"/>
      <w:r w:rsidRPr="00380929">
        <w:rPr>
          <w:rFonts w:ascii="Garamond" w:eastAsia="Calibri" w:hAnsi="Garamond" w:cs="Times New Roman"/>
          <w:sz w:val="25"/>
          <w:szCs w:val="25"/>
          <w:lang w:eastAsia="es-ES"/>
        </w:rPr>
        <w:t xml:space="preserve"> pero todavía es </w:t>
      </w:r>
      <w:r w:rsidRPr="00380929">
        <w:rPr>
          <w:rFonts w:ascii="Garamond" w:eastAsia="Calibri" w:hAnsi="Garamond" w:cs="Times New Roman"/>
          <w:sz w:val="25"/>
          <w:szCs w:val="25"/>
          <w:lang w:eastAsia="es-ES"/>
        </w:rPr>
        <w:lastRenderedPageBreak/>
        <w:t>prematuro un análisis objetivo sobre la correcta aplicación de este nuevo sistema de información con claro efecto fiscal.</w:t>
      </w:r>
    </w:p>
    <w:p w14:paraId="0B1055B4" w14:textId="77777777" w:rsidR="00AB179E" w:rsidRPr="00380929" w:rsidRDefault="00AB179E" w:rsidP="00380929">
      <w:pPr>
        <w:jc w:val="both"/>
        <w:rPr>
          <w:rFonts w:ascii="Garamond" w:eastAsia="Calibri" w:hAnsi="Garamond" w:cs="Times New Roman"/>
          <w:sz w:val="25"/>
          <w:szCs w:val="25"/>
          <w:lang w:eastAsia="es-ES"/>
        </w:rPr>
      </w:pPr>
    </w:p>
    <w:p w14:paraId="04A66642" w14:textId="77777777" w:rsidR="00AB179E" w:rsidRPr="00AB179E" w:rsidRDefault="00AB179E" w:rsidP="00AB179E">
      <w:pPr>
        <w:jc w:val="both"/>
        <w:rPr>
          <w:rFonts w:ascii="Garamond" w:eastAsia="Calibri" w:hAnsi="Garamond" w:cs="Times New Roman"/>
          <w:b/>
          <w:bCs/>
          <w:sz w:val="25"/>
          <w:szCs w:val="25"/>
          <w:lang w:eastAsia="es-ES"/>
        </w:rPr>
      </w:pPr>
      <w:r w:rsidRPr="00AB179E">
        <w:rPr>
          <w:rFonts w:ascii="Garamond" w:eastAsia="Calibri" w:hAnsi="Garamond" w:cs="Times New Roman"/>
          <w:b/>
          <w:bCs/>
          <w:sz w:val="25"/>
          <w:szCs w:val="25"/>
          <w:lang w:eastAsia="es-ES"/>
        </w:rPr>
        <w:t>6. Actos posteriores a la publicación del Decreto</w:t>
      </w:r>
    </w:p>
    <w:p w14:paraId="79416F12" w14:textId="6851F20F" w:rsidR="00380929" w:rsidRDefault="00AB179E" w:rsidP="00AB179E">
      <w:pPr>
        <w:jc w:val="both"/>
        <w:rPr>
          <w:rFonts w:ascii="Garamond" w:eastAsia="Calibri" w:hAnsi="Garamond" w:cs="Times New Roman"/>
          <w:sz w:val="25"/>
          <w:szCs w:val="25"/>
          <w:lang w:eastAsia="es-ES"/>
        </w:rPr>
      </w:pPr>
      <w:r w:rsidRPr="00AB179E">
        <w:rPr>
          <w:rFonts w:ascii="Garamond" w:eastAsia="Calibri" w:hAnsi="Garamond" w:cs="Times New Roman"/>
          <w:sz w:val="25"/>
          <w:szCs w:val="25"/>
          <w:lang w:eastAsia="es-ES"/>
        </w:rPr>
        <w:t>Por cuestiones de seguridad jurídica, ante la necesidad de que la adhesión al Régimen Simplificado del Impuesto a las Ganancias tenga un blindaje para futuras modificaciones por parte de nuevas administraciones nacionales, se encuentra en redacción un proyecto de ley penal tributaria y procedimientos específicos en esta materia, debido a que actualmente el concepto de evasión contempla que un contribuyente que posee ingresos no declarados por 1,5 millones de pesos quedan automáticamente encuadrados bajo la categoría de evasión</w:t>
      </w:r>
    </w:p>
    <w:p w14:paraId="691D58FD" w14:textId="77777777" w:rsidR="00AB179E" w:rsidRPr="00380929" w:rsidRDefault="00AB179E" w:rsidP="00AB179E">
      <w:pPr>
        <w:jc w:val="both"/>
        <w:rPr>
          <w:rFonts w:ascii="Garamond" w:eastAsia="Calibri" w:hAnsi="Garamond" w:cs="Times New Roman"/>
          <w:sz w:val="25"/>
          <w:szCs w:val="25"/>
          <w:lang w:eastAsia="es-ES"/>
        </w:rPr>
      </w:pPr>
    </w:p>
    <w:p w14:paraId="408918E6" w14:textId="34756C1C" w:rsidR="00380929" w:rsidRPr="00380929" w:rsidRDefault="00AB179E" w:rsidP="00380929">
      <w:pPr>
        <w:jc w:val="both"/>
        <w:rPr>
          <w:rFonts w:ascii="Garamond" w:eastAsia="Calibri" w:hAnsi="Garamond" w:cs="Times New Roman"/>
          <w:b/>
          <w:bCs/>
          <w:sz w:val="25"/>
          <w:szCs w:val="25"/>
          <w:lang w:eastAsia="es-ES"/>
        </w:rPr>
      </w:pPr>
      <w:r>
        <w:rPr>
          <w:rFonts w:ascii="Garamond" w:eastAsia="Calibri" w:hAnsi="Garamond" w:cs="Times New Roman"/>
          <w:b/>
          <w:bCs/>
          <w:sz w:val="25"/>
          <w:szCs w:val="25"/>
          <w:lang w:eastAsia="es-ES"/>
        </w:rPr>
        <w:t>7.</w:t>
      </w:r>
      <w:r w:rsidR="00380929" w:rsidRPr="00380929">
        <w:rPr>
          <w:rFonts w:ascii="Garamond" w:eastAsia="Calibri" w:hAnsi="Garamond" w:cs="Times New Roman"/>
          <w:b/>
          <w:bCs/>
          <w:sz w:val="25"/>
          <w:szCs w:val="25"/>
          <w:lang w:eastAsia="es-ES"/>
        </w:rPr>
        <w:t xml:space="preserve"> Consideraciones Finales y resumen de las disposiciones del Decreto</w:t>
      </w:r>
    </w:p>
    <w:p w14:paraId="668CF96F" w14:textId="77777777" w:rsidR="00380929" w:rsidRPr="00380929" w:rsidRDefault="00380929" w:rsidP="00380929">
      <w:pPr>
        <w:jc w:val="both"/>
        <w:rPr>
          <w:rFonts w:ascii="Garamond" w:eastAsia="Calibri" w:hAnsi="Garamond" w:cs="Times New Roman"/>
          <w:sz w:val="25"/>
          <w:szCs w:val="25"/>
          <w:lang w:eastAsia="es-ES"/>
        </w:rPr>
      </w:pPr>
      <w:r w:rsidRPr="00380929">
        <w:rPr>
          <w:rFonts w:ascii="Garamond" w:eastAsia="Calibri" w:hAnsi="Garamond" w:cs="Times New Roman"/>
          <w:sz w:val="25"/>
          <w:szCs w:val="25"/>
          <w:lang w:eastAsia="es-ES"/>
        </w:rPr>
        <w:t>El Decreto 353/2025 representa un avance en la simplificación de procesos administrativos y fiscales, alineándose con estándares internacionales y promoviendo la transparencia y eficiencia en el sistema financiero y tributario argentino. Se recomienda evaluar adecuadamente el impacto de estas disposiciones en sus operaciones y considerar los efectos que puedan surgir a partir de la implementación de estas medidas.</w:t>
      </w:r>
    </w:p>
    <w:p w14:paraId="163AB731" w14:textId="77777777" w:rsidR="00380929" w:rsidRPr="00380929" w:rsidRDefault="00380929" w:rsidP="00380929">
      <w:pPr>
        <w:jc w:val="both"/>
        <w:rPr>
          <w:rFonts w:ascii="Garamond" w:eastAsia="Calibri" w:hAnsi="Garamond" w:cs="Times New Roman"/>
          <w:sz w:val="25"/>
          <w:szCs w:val="25"/>
          <w:lang w:eastAsia="es-ES"/>
        </w:rPr>
      </w:pPr>
    </w:p>
    <w:p w14:paraId="4949F4E9" w14:textId="77777777" w:rsidR="00380929" w:rsidRPr="00380929" w:rsidRDefault="00380929" w:rsidP="00380929">
      <w:pPr>
        <w:jc w:val="both"/>
        <w:rPr>
          <w:rFonts w:ascii="Garamond" w:eastAsia="Calibri" w:hAnsi="Garamond" w:cs="Times New Roman"/>
          <w:sz w:val="25"/>
          <w:szCs w:val="25"/>
          <w:lang w:eastAsia="es-ES"/>
        </w:rPr>
      </w:pPr>
      <w:r w:rsidRPr="00380929">
        <w:rPr>
          <w:rFonts w:ascii="Garamond" w:eastAsia="Calibri" w:hAnsi="Garamond" w:cs="Times New Roman"/>
          <w:sz w:val="25"/>
          <w:szCs w:val="25"/>
          <w:lang w:eastAsia="es-ES"/>
        </w:rPr>
        <w:t>En este marco, el Decreto:</w:t>
      </w:r>
    </w:p>
    <w:p w14:paraId="35456377" w14:textId="77777777" w:rsidR="00380929" w:rsidRPr="00380929" w:rsidRDefault="00380929" w:rsidP="00380929">
      <w:pPr>
        <w:numPr>
          <w:ilvl w:val="0"/>
          <w:numId w:val="20"/>
        </w:numPr>
        <w:jc w:val="both"/>
        <w:rPr>
          <w:rFonts w:ascii="Garamond" w:eastAsia="Calibri" w:hAnsi="Garamond" w:cs="Times New Roman"/>
          <w:sz w:val="25"/>
          <w:szCs w:val="25"/>
          <w:lang w:eastAsia="es-ES"/>
        </w:rPr>
      </w:pPr>
      <w:r w:rsidRPr="00380929">
        <w:rPr>
          <w:rFonts w:ascii="Garamond" w:eastAsia="Calibri" w:hAnsi="Garamond" w:cs="Times New Roman"/>
          <w:sz w:val="25"/>
          <w:szCs w:val="25"/>
          <w:lang w:eastAsia="es-ES"/>
        </w:rPr>
        <w:t>encomienda a la Agencia de Recaudación y Control Aduanero la implementación gradual de una modalidad simplificada y opcional para la declaración del Impuesto a las Ganancias de personas humanas y sucesiones indivisas residentes, basada en la información disponible y suministrada por los contribuyentes. Esta modalidad estará disponible para quienes obtengan rentas exclusivamente de fuente argentina;</w:t>
      </w:r>
    </w:p>
    <w:p w14:paraId="42059762" w14:textId="77777777" w:rsidR="00380929" w:rsidRPr="00380929" w:rsidRDefault="00380929" w:rsidP="00380929">
      <w:pPr>
        <w:numPr>
          <w:ilvl w:val="0"/>
          <w:numId w:val="20"/>
        </w:numPr>
        <w:jc w:val="both"/>
        <w:rPr>
          <w:rFonts w:ascii="Garamond" w:eastAsia="Calibri" w:hAnsi="Garamond" w:cs="Times New Roman"/>
          <w:sz w:val="25"/>
          <w:szCs w:val="25"/>
          <w:lang w:eastAsia="es-ES"/>
        </w:rPr>
      </w:pPr>
      <w:r w:rsidRPr="00380929">
        <w:rPr>
          <w:rFonts w:ascii="Garamond" w:eastAsia="Calibri" w:hAnsi="Garamond" w:cs="Times New Roman"/>
          <w:sz w:val="25"/>
          <w:szCs w:val="25"/>
          <w:lang w:eastAsia="es-ES"/>
        </w:rPr>
        <w:t>crea el Sistema de Finanzas Abiertas, que permitirá a personas y empresas compartir, con su consentimiento expreso, información con entidades financieras registradas en el Banco Central de la República Argentina (BCRA), con el fin de facilitar el acceso al crédito y promover la inclusión financiera. El BCRA será la autoridad de aplicación de este sistema;</w:t>
      </w:r>
    </w:p>
    <w:p w14:paraId="6B8D6B8E" w14:textId="77777777" w:rsidR="00380929" w:rsidRPr="00380929" w:rsidRDefault="00380929" w:rsidP="00380929">
      <w:pPr>
        <w:numPr>
          <w:ilvl w:val="0"/>
          <w:numId w:val="20"/>
        </w:numPr>
        <w:jc w:val="both"/>
        <w:rPr>
          <w:rFonts w:ascii="Garamond" w:eastAsia="Calibri" w:hAnsi="Garamond" w:cs="Times New Roman"/>
          <w:sz w:val="25"/>
          <w:szCs w:val="25"/>
          <w:lang w:eastAsia="es-ES"/>
        </w:rPr>
      </w:pPr>
      <w:r w:rsidRPr="00380929">
        <w:rPr>
          <w:rFonts w:ascii="Garamond" w:eastAsia="Calibri" w:hAnsi="Garamond" w:cs="Times New Roman"/>
          <w:sz w:val="25"/>
          <w:szCs w:val="25"/>
          <w:lang w:eastAsia="es-ES"/>
        </w:rPr>
        <w:t>la UIF deberá, en un plazo de 30 días, evaluar la necesidad de adecuar su normativa en función de las disposiciones del decreto, en el marco de la prevención del lavado de activos y financiamiento del terrorismo.</w:t>
      </w:r>
    </w:p>
    <w:p w14:paraId="7C3EB757" w14:textId="77777777" w:rsidR="00380929" w:rsidRPr="00380929" w:rsidRDefault="00380929" w:rsidP="00380929">
      <w:pPr>
        <w:ind w:left="720"/>
        <w:jc w:val="both"/>
        <w:rPr>
          <w:rFonts w:ascii="Garamond" w:eastAsia="Calibri" w:hAnsi="Garamond" w:cs="Times New Roman"/>
          <w:sz w:val="25"/>
          <w:szCs w:val="25"/>
          <w:lang w:eastAsia="es-ES"/>
        </w:rPr>
      </w:pPr>
    </w:p>
    <w:p w14:paraId="2B642870" w14:textId="77777777" w:rsidR="00380929" w:rsidRPr="00380929" w:rsidRDefault="00380929" w:rsidP="00380929">
      <w:pPr>
        <w:jc w:val="both"/>
        <w:rPr>
          <w:rFonts w:ascii="Garamond" w:eastAsia="Calibri" w:hAnsi="Garamond" w:cs="Times New Roman"/>
          <w:sz w:val="25"/>
          <w:szCs w:val="25"/>
          <w:lang w:eastAsia="es-ES"/>
        </w:rPr>
      </w:pPr>
      <w:r w:rsidRPr="00380929">
        <w:rPr>
          <w:rFonts w:ascii="Garamond" w:eastAsia="Calibri" w:hAnsi="Garamond" w:cs="Times New Roman"/>
          <w:sz w:val="25"/>
          <w:szCs w:val="25"/>
          <w:lang w:eastAsia="es-ES"/>
        </w:rPr>
        <w:t xml:space="preserve">Las disposiciones del decreto </w:t>
      </w:r>
      <w:proofErr w:type="gramStart"/>
      <w:r w:rsidRPr="00380929">
        <w:rPr>
          <w:rFonts w:ascii="Garamond" w:eastAsia="Calibri" w:hAnsi="Garamond" w:cs="Times New Roman"/>
          <w:sz w:val="25"/>
          <w:szCs w:val="25"/>
          <w:lang w:eastAsia="es-ES"/>
        </w:rPr>
        <w:t>entran en vigencia</w:t>
      </w:r>
      <w:proofErr w:type="gramEnd"/>
      <w:r w:rsidRPr="00380929">
        <w:rPr>
          <w:rFonts w:ascii="Garamond" w:eastAsia="Calibri" w:hAnsi="Garamond" w:cs="Times New Roman"/>
          <w:sz w:val="25"/>
          <w:szCs w:val="25"/>
          <w:lang w:eastAsia="es-ES"/>
        </w:rPr>
        <w:t xml:space="preserve"> a partir de su publicación</w:t>
      </w:r>
    </w:p>
    <w:p w14:paraId="3C702249" w14:textId="77777777" w:rsidR="00380929" w:rsidRPr="00380929" w:rsidRDefault="00380929" w:rsidP="00380929">
      <w:pPr>
        <w:jc w:val="both"/>
        <w:rPr>
          <w:rFonts w:ascii="Garamond" w:eastAsia="Calibri" w:hAnsi="Garamond" w:cs="Times New Roman"/>
          <w:sz w:val="25"/>
          <w:szCs w:val="25"/>
          <w:lang w:eastAsia="es-ES"/>
        </w:rPr>
      </w:pPr>
    </w:p>
    <w:p w14:paraId="4D5EC68A" w14:textId="32DE2E64" w:rsidR="00323FD2" w:rsidRPr="00380929" w:rsidRDefault="00380929" w:rsidP="00380929">
      <w:pPr>
        <w:jc w:val="both"/>
        <w:rPr>
          <w:rFonts w:ascii="Garamond" w:eastAsia="Calibri" w:hAnsi="Garamond" w:cs="Times New Roman"/>
          <w:sz w:val="25"/>
          <w:szCs w:val="25"/>
          <w:lang w:eastAsia="es-ES"/>
        </w:rPr>
      </w:pPr>
      <w:r w:rsidRPr="00380929">
        <w:rPr>
          <w:rFonts w:ascii="Garamond" w:eastAsia="Calibri" w:hAnsi="Garamond" w:cs="Times New Roman"/>
          <w:sz w:val="25"/>
          <w:szCs w:val="25"/>
          <w:lang w:eastAsia="es-ES"/>
        </w:rPr>
        <w:t>Atentamente,</w:t>
      </w:r>
    </w:p>
    <w:p w14:paraId="668246BC" w14:textId="06017B94" w:rsidR="009E2BE7" w:rsidRPr="009E2BE7" w:rsidRDefault="00323FD2" w:rsidP="00323FD2">
      <w:pPr>
        <w:jc w:val="both"/>
        <w:rPr>
          <w:rFonts w:ascii="Garamond" w:eastAsia="Calibri" w:hAnsi="Garamond" w:cs="Times New Roman"/>
          <w:sz w:val="24"/>
          <w:szCs w:val="24"/>
          <w:lang w:eastAsia="es-ES"/>
        </w:rPr>
      </w:pPr>
      <w:r w:rsidRPr="009E2BE7">
        <w:rPr>
          <w:rFonts w:ascii="Garamond" w:eastAsia="Calibri" w:hAnsi="Garamond" w:cs="Times New Roman"/>
          <w:sz w:val="24"/>
          <w:szCs w:val="24"/>
          <w:lang w:eastAsia="es-ES"/>
        </w:rPr>
        <w:t xml:space="preserve"> </w:t>
      </w:r>
    </w:p>
    <w:p w14:paraId="741E85AC" w14:textId="01EE8F7F" w:rsidR="0031316E" w:rsidRDefault="00380929" w:rsidP="009E2BE7">
      <w:pPr>
        <w:spacing w:after="200"/>
        <w:jc w:val="both"/>
        <w:rPr>
          <w:rFonts w:ascii="Garamond" w:eastAsia="Calibri" w:hAnsi="Garamond" w:cs="Times New Roman"/>
          <w:sz w:val="24"/>
          <w:szCs w:val="24"/>
          <w:lang w:eastAsia="en-US"/>
        </w:rPr>
      </w:pPr>
      <w:r>
        <w:rPr>
          <w:rFonts w:ascii="Garamond" w:eastAsia="Calibri" w:hAnsi="Garamond" w:cs="Times New Roman"/>
          <w:noProof/>
          <w:szCs w:val="24"/>
          <w:lang w:eastAsia="en-US"/>
        </w:rPr>
        <w:drawing>
          <wp:anchor distT="0" distB="0" distL="114300" distR="114300" simplePos="0" relativeHeight="251658240" behindDoc="1" locked="0" layoutInCell="1" allowOverlap="1" wp14:anchorId="183159CE" wp14:editId="3803AD7D">
            <wp:simplePos x="0" y="0"/>
            <wp:positionH relativeFrom="margin">
              <wp:align>right</wp:align>
            </wp:positionH>
            <wp:positionV relativeFrom="paragraph">
              <wp:posOffset>149860</wp:posOffset>
            </wp:positionV>
            <wp:extent cx="3692525" cy="720725"/>
            <wp:effectExtent l="0" t="0" r="3175" b="3175"/>
            <wp:wrapThrough wrapText="bothSides">
              <wp:wrapPolygon edited="0">
                <wp:start x="0" y="0"/>
                <wp:lineTo x="0" y="21124"/>
                <wp:lineTo x="21507" y="21124"/>
                <wp:lineTo x="21507" y="0"/>
                <wp:lineTo x="0" y="0"/>
              </wp:wrapPolygon>
            </wp:wrapThrough>
            <wp:docPr id="10189903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92525" cy="720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989B51" w14:textId="36F81054" w:rsidR="0031316E" w:rsidRPr="0031316E" w:rsidRDefault="0031316E" w:rsidP="0031316E">
      <w:pPr>
        <w:rPr>
          <w:rFonts w:ascii="Garamond" w:eastAsia="Calibri" w:hAnsi="Garamond" w:cs="Times New Roman"/>
          <w:sz w:val="24"/>
          <w:szCs w:val="24"/>
          <w:lang w:eastAsia="en-US"/>
        </w:rPr>
      </w:pPr>
    </w:p>
    <w:p w14:paraId="57C3835C" w14:textId="141055C5" w:rsidR="0031316E" w:rsidRPr="0031316E" w:rsidRDefault="0031316E" w:rsidP="0031316E">
      <w:pPr>
        <w:rPr>
          <w:rFonts w:ascii="Garamond" w:eastAsia="Calibri" w:hAnsi="Garamond" w:cs="Times New Roman"/>
          <w:sz w:val="24"/>
          <w:szCs w:val="24"/>
          <w:lang w:eastAsia="en-US"/>
        </w:rPr>
      </w:pPr>
    </w:p>
    <w:p w14:paraId="42839BE8" w14:textId="6BE7A433" w:rsidR="0031316E" w:rsidRDefault="0031316E" w:rsidP="0031316E">
      <w:pPr>
        <w:rPr>
          <w:rFonts w:ascii="Garamond" w:eastAsia="Calibri" w:hAnsi="Garamond" w:cs="Times New Roman"/>
          <w:sz w:val="24"/>
          <w:szCs w:val="24"/>
          <w:lang w:eastAsia="en-US"/>
        </w:rPr>
      </w:pPr>
    </w:p>
    <w:p w14:paraId="69453EEF" w14:textId="0C59DCDC" w:rsidR="009E2BE7" w:rsidRDefault="009E2BE7" w:rsidP="0031316E">
      <w:pPr>
        <w:ind w:firstLine="708"/>
        <w:rPr>
          <w:rFonts w:ascii="Garamond" w:eastAsia="Calibri" w:hAnsi="Garamond" w:cs="Times New Roman"/>
          <w:szCs w:val="24"/>
          <w:lang w:eastAsia="en-US"/>
        </w:rPr>
      </w:pPr>
    </w:p>
    <w:p w14:paraId="166206E1" w14:textId="77777777" w:rsidR="00C269DC" w:rsidRDefault="00C269DC" w:rsidP="0031316E">
      <w:pPr>
        <w:ind w:firstLine="708"/>
        <w:rPr>
          <w:rFonts w:ascii="Garamond" w:eastAsia="Calibri" w:hAnsi="Garamond" w:cs="Times New Roman"/>
          <w:szCs w:val="24"/>
          <w:lang w:eastAsia="en-US"/>
        </w:rPr>
      </w:pPr>
    </w:p>
    <w:p w14:paraId="0722DBC4" w14:textId="6BAE3558" w:rsidR="00C269DC" w:rsidRDefault="00C269DC" w:rsidP="0031316E">
      <w:pPr>
        <w:ind w:firstLine="708"/>
        <w:rPr>
          <w:rFonts w:ascii="Garamond" w:eastAsia="Calibri" w:hAnsi="Garamond" w:cs="Times New Roman"/>
          <w:szCs w:val="24"/>
          <w:lang w:eastAsia="en-US"/>
        </w:rPr>
      </w:pPr>
    </w:p>
    <w:p w14:paraId="0D5715FF" w14:textId="59F99491" w:rsidR="00C269DC" w:rsidRPr="0031316E" w:rsidRDefault="00C269DC" w:rsidP="00C269DC">
      <w:pPr>
        <w:rPr>
          <w:rFonts w:ascii="Garamond" w:eastAsia="Calibri" w:hAnsi="Garamond" w:cs="Times New Roman"/>
          <w:szCs w:val="24"/>
          <w:lang w:eastAsia="en-US"/>
        </w:rPr>
      </w:pPr>
    </w:p>
    <w:sectPr w:rsidR="00C269DC" w:rsidRPr="0031316E" w:rsidSect="00350176">
      <w:headerReference w:type="default" r:id="rId8"/>
      <w:headerReference w:type="first" r:id="rId9"/>
      <w:pgSz w:w="11906" w:h="16838"/>
      <w:pgMar w:top="1686"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108F5" w14:textId="77777777" w:rsidR="00F57D44" w:rsidRDefault="00F57D44" w:rsidP="009C54E7">
      <w:r>
        <w:separator/>
      </w:r>
    </w:p>
  </w:endnote>
  <w:endnote w:type="continuationSeparator" w:id="0">
    <w:p w14:paraId="0E3A0685" w14:textId="77777777" w:rsidR="00F57D44" w:rsidRDefault="00F57D44" w:rsidP="009C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B67C9" w14:textId="77777777" w:rsidR="00F57D44" w:rsidRDefault="00F57D44" w:rsidP="009C54E7">
      <w:r>
        <w:separator/>
      </w:r>
    </w:p>
  </w:footnote>
  <w:footnote w:type="continuationSeparator" w:id="0">
    <w:p w14:paraId="08D84438" w14:textId="77777777" w:rsidR="00F57D44" w:rsidRDefault="00F57D44" w:rsidP="009C5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456347"/>
      <w:docPartObj>
        <w:docPartGallery w:val="Page Numbers (Top of Page)"/>
        <w:docPartUnique/>
      </w:docPartObj>
    </w:sdtPr>
    <w:sdtContent>
      <w:p w14:paraId="21897140" w14:textId="61CA3BBE" w:rsidR="009C54E7" w:rsidRDefault="009C54E7">
        <w:pPr>
          <w:pStyle w:val="Encabezado"/>
          <w:jc w:val="right"/>
        </w:pPr>
        <w:r>
          <w:fldChar w:fldCharType="begin"/>
        </w:r>
        <w:r>
          <w:instrText>PAGE   \* MERGEFORMAT</w:instrText>
        </w:r>
        <w:r>
          <w:fldChar w:fldCharType="separate"/>
        </w:r>
        <w:r w:rsidR="00323FD2" w:rsidRPr="00323FD2">
          <w:rPr>
            <w:noProof/>
            <w:lang w:val="es-ES"/>
          </w:rPr>
          <w:t>2</w:t>
        </w:r>
        <w:r>
          <w:fldChar w:fldCharType="end"/>
        </w:r>
      </w:p>
    </w:sdtContent>
  </w:sdt>
  <w:p w14:paraId="75B00D55" w14:textId="77777777" w:rsidR="009C54E7" w:rsidRDefault="009C54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9483A" w14:textId="07AAD1BA" w:rsidR="009C54E7" w:rsidRDefault="0031316E">
    <w:pPr>
      <w:pStyle w:val="Encabezado"/>
    </w:pPr>
    <w:r>
      <w:rPr>
        <w:noProof/>
        <w:lang w:val="es-ES" w:eastAsia="es-ES"/>
      </w:rPr>
      <w:drawing>
        <wp:anchor distT="0" distB="0" distL="114300" distR="114300" simplePos="0" relativeHeight="251659264" behindDoc="0" locked="0" layoutInCell="1" allowOverlap="1" wp14:anchorId="12391B2D" wp14:editId="0C90BA7D">
          <wp:simplePos x="0" y="0"/>
          <wp:positionH relativeFrom="column">
            <wp:posOffset>-1089660</wp:posOffset>
          </wp:positionH>
          <wp:positionV relativeFrom="paragraph">
            <wp:posOffset>-440055</wp:posOffset>
          </wp:positionV>
          <wp:extent cx="7572375" cy="947420"/>
          <wp:effectExtent l="0" t="0" r="9525" b="5080"/>
          <wp:wrapNone/>
          <wp:docPr id="5" name="Imagen 5" descr="C:\Users\Compumar\AppData\Local\Microsoft\Windows\INetCache\Content.Word\banner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umar\AppData\Local\Microsoft\Windows\INetCache\Content.Word\banner nuev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2375" cy="9474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6D7A"/>
    <w:multiLevelType w:val="hybridMultilevel"/>
    <w:tmpl w:val="4A784F2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7DA693A"/>
    <w:multiLevelType w:val="hybridMultilevel"/>
    <w:tmpl w:val="2B62B1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BFD1309"/>
    <w:multiLevelType w:val="hybridMultilevel"/>
    <w:tmpl w:val="EFFC29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BFB1DAB"/>
    <w:multiLevelType w:val="hybridMultilevel"/>
    <w:tmpl w:val="EFD69E2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56838A5"/>
    <w:multiLevelType w:val="hybridMultilevel"/>
    <w:tmpl w:val="C01455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3D0B13E9"/>
    <w:multiLevelType w:val="hybridMultilevel"/>
    <w:tmpl w:val="F84065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3D2F6F8B"/>
    <w:multiLevelType w:val="hybridMultilevel"/>
    <w:tmpl w:val="F04ACB6A"/>
    <w:lvl w:ilvl="0" w:tplc="E81ACDC8">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7" w15:restartNumberingAfterBreak="0">
    <w:nsid w:val="4D3A7E64"/>
    <w:multiLevelType w:val="hybridMultilevel"/>
    <w:tmpl w:val="2B104F9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5586817"/>
    <w:multiLevelType w:val="hybridMultilevel"/>
    <w:tmpl w:val="148CA5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58E05334"/>
    <w:multiLevelType w:val="hybridMultilevel"/>
    <w:tmpl w:val="B1C424B6"/>
    <w:lvl w:ilvl="0" w:tplc="132CE696">
      <w:start w:val="1"/>
      <w:numFmt w:val="bullet"/>
      <w:lvlText w:val="-"/>
      <w:lvlJc w:val="left"/>
      <w:pPr>
        <w:ind w:left="720" w:hanging="360"/>
      </w:pPr>
      <w:rPr>
        <w:rFonts w:ascii="Rockwell" w:eastAsia="Calibri" w:hAnsi="Rockwell"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0" w15:restartNumberingAfterBreak="0">
    <w:nsid w:val="5F463BE9"/>
    <w:multiLevelType w:val="hybridMultilevel"/>
    <w:tmpl w:val="095A3C40"/>
    <w:lvl w:ilvl="0" w:tplc="2C0A0011">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1" w15:restartNumberingAfterBreak="0">
    <w:nsid w:val="5FB7345D"/>
    <w:multiLevelType w:val="hybridMultilevel"/>
    <w:tmpl w:val="020254F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60C94E8C"/>
    <w:multiLevelType w:val="hybridMultilevel"/>
    <w:tmpl w:val="0632EC7A"/>
    <w:lvl w:ilvl="0" w:tplc="FC62CE3A">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637D7926"/>
    <w:multiLevelType w:val="hybridMultilevel"/>
    <w:tmpl w:val="5210B3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728535DA"/>
    <w:multiLevelType w:val="hybridMultilevel"/>
    <w:tmpl w:val="CB3A2924"/>
    <w:lvl w:ilvl="0" w:tplc="C9CC1D7E">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5" w15:restartNumberingAfterBreak="0">
    <w:nsid w:val="778E61D2"/>
    <w:multiLevelType w:val="hybridMultilevel"/>
    <w:tmpl w:val="FA9A79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7B9B332F"/>
    <w:multiLevelType w:val="hybridMultilevel"/>
    <w:tmpl w:val="64A48032"/>
    <w:lvl w:ilvl="0" w:tplc="B352C14E">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7" w15:restartNumberingAfterBreak="0">
    <w:nsid w:val="7D877B04"/>
    <w:multiLevelType w:val="hybridMultilevel"/>
    <w:tmpl w:val="3886C326"/>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8" w15:restartNumberingAfterBreak="0">
    <w:nsid w:val="7F00089B"/>
    <w:multiLevelType w:val="hybridMultilevel"/>
    <w:tmpl w:val="D50487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3615212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4376438">
    <w:abstractNumId w:val="15"/>
  </w:num>
  <w:num w:numId="3" w16cid:durableId="1642997648">
    <w:abstractNumId w:val="5"/>
  </w:num>
  <w:num w:numId="4" w16cid:durableId="1062290695">
    <w:abstractNumId w:val="0"/>
  </w:num>
  <w:num w:numId="5" w16cid:durableId="239677974">
    <w:abstractNumId w:val="14"/>
  </w:num>
  <w:num w:numId="6" w16cid:durableId="1937203321">
    <w:abstractNumId w:val="2"/>
  </w:num>
  <w:num w:numId="7" w16cid:durableId="1351688485">
    <w:abstractNumId w:val="13"/>
  </w:num>
  <w:num w:numId="8" w16cid:durableId="886332021">
    <w:abstractNumId w:val="18"/>
  </w:num>
  <w:num w:numId="9" w16cid:durableId="2131704119">
    <w:abstractNumId w:val="11"/>
  </w:num>
  <w:num w:numId="10" w16cid:durableId="17435306">
    <w:abstractNumId w:val="1"/>
  </w:num>
  <w:num w:numId="11" w16cid:durableId="680742282">
    <w:abstractNumId w:val="8"/>
  </w:num>
  <w:num w:numId="12" w16cid:durableId="1536577546">
    <w:abstractNumId w:val="3"/>
  </w:num>
  <w:num w:numId="13" w16cid:durableId="1350520379">
    <w:abstractNumId w:val="7"/>
  </w:num>
  <w:num w:numId="14" w16cid:durableId="6987474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0409067">
    <w:abstractNumId w:val="16"/>
  </w:num>
  <w:num w:numId="16" w16cid:durableId="1650282623">
    <w:abstractNumId w:val="12"/>
  </w:num>
  <w:num w:numId="17" w16cid:durableId="16534110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7700499">
    <w:abstractNumId w:val="9"/>
  </w:num>
  <w:num w:numId="19" w16cid:durableId="2261864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12318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221"/>
    <w:rsid w:val="00030A90"/>
    <w:rsid w:val="000546D2"/>
    <w:rsid w:val="00070587"/>
    <w:rsid w:val="00080940"/>
    <w:rsid w:val="000D0961"/>
    <w:rsid w:val="000D2F72"/>
    <w:rsid w:val="000F6C44"/>
    <w:rsid w:val="00111774"/>
    <w:rsid w:val="00160ADB"/>
    <w:rsid w:val="00195EAC"/>
    <w:rsid w:val="001A301B"/>
    <w:rsid w:val="001A32A0"/>
    <w:rsid w:val="001B69A2"/>
    <w:rsid w:val="001D7127"/>
    <w:rsid w:val="00214C11"/>
    <w:rsid w:val="00217461"/>
    <w:rsid w:val="0022139D"/>
    <w:rsid w:val="00235E11"/>
    <w:rsid w:val="00236C27"/>
    <w:rsid w:val="00271E05"/>
    <w:rsid w:val="00280E83"/>
    <w:rsid w:val="002B0E0B"/>
    <w:rsid w:val="002E3B24"/>
    <w:rsid w:val="002E5AED"/>
    <w:rsid w:val="002E7E9F"/>
    <w:rsid w:val="002F177A"/>
    <w:rsid w:val="0031316E"/>
    <w:rsid w:val="00323FD2"/>
    <w:rsid w:val="00324B6E"/>
    <w:rsid w:val="00350176"/>
    <w:rsid w:val="00357F03"/>
    <w:rsid w:val="003760C5"/>
    <w:rsid w:val="00380929"/>
    <w:rsid w:val="003B315D"/>
    <w:rsid w:val="003D620D"/>
    <w:rsid w:val="003E0A43"/>
    <w:rsid w:val="00411077"/>
    <w:rsid w:val="0044708A"/>
    <w:rsid w:val="00462970"/>
    <w:rsid w:val="00464175"/>
    <w:rsid w:val="00464E6F"/>
    <w:rsid w:val="00480831"/>
    <w:rsid w:val="004B0816"/>
    <w:rsid w:val="0050712B"/>
    <w:rsid w:val="00594649"/>
    <w:rsid w:val="005E5652"/>
    <w:rsid w:val="005E7B5D"/>
    <w:rsid w:val="005F3E86"/>
    <w:rsid w:val="00601672"/>
    <w:rsid w:val="00665A44"/>
    <w:rsid w:val="006A1AD2"/>
    <w:rsid w:val="006B72E3"/>
    <w:rsid w:val="006E6097"/>
    <w:rsid w:val="006F128B"/>
    <w:rsid w:val="00710130"/>
    <w:rsid w:val="0073503E"/>
    <w:rsid w:val="00737C4B"/>
    <w:rsid w:val="00751A5B"/>
    <w:rsid w:val="00755164"/>
    <w:rsid w:val="007570B5"/>
    <w:rsid w:val="007B1CD0"/>
    <w:rsid w:val="007D238A"/>
    <w:rsid w:val="007F233C"/>
    <w:rsid w:val="007F35D1"/>
    <w:rsid w:val="008D3F8A"/>
    <w:rsid w:val="008F5C0C"/>
    <w:rsid w:val="009016A2"/>
    <w:rsid w:val="00934E32"/>
    <w:rsid w:val="00991A82"/>
    <w:rsid w:val="009A07CD"/>
    <w:rsid w:val="009C54E7"/>
    <w:rsid w:val="009E0627"/>
    <w:rsid w:val="009E2BE7"/>
    <w:rsid w:val="009F38DA"/>
    <w:rsid w:val="00A1595F"/>
    <w:rsid w:val="00A41C23"/>
    <w:rsid w:val="00A50D68"/>
    <w:rsid w:val="00A62BC7"/>
    <w:rsid w:val="00AA3666"/>
    <w:rsid w:val="00AB179E"/>
    <w:rsid w:val="00AD625C"/>
    <w:rsid w:val="00AF7764"/>
    <w:rsid w:val="00B12D8C"/>
    <w:rsid w:val="00B21AFB"/>
    <w:rsid w:val="00B25B0F"/>
    <w:rsid w:val="00B341CD"/>
    <w:rsid w:val="00B70D86"/>
    <w:rsid w:val="00B75C10"/>
    <w:rsid w:val="00BA1FAB"/>
    <w:rsid w:val="00BB242F"/>
    <w:rsid w:val="00BF13BD"/>
    <w:rsid w:val="00BF5EBA"/>
    <w:rsid w:val="00C2265B"/>
    <w:rsid w:val="00C24436"/>
    <w:rsid w:val="00C269DC"/>
    <w:rsid w:val="00C27EE5"/>
    <w:rsid w:val="00C323E3"/>
    <w:rsid w:val="00C539C4"/>
    <w:rsid w:val="00C927D2"/>
    <w:rsid w:val="00D256E4"/>
    <w:rsid w:val="00D41FED"/>
    <w:rsid w:val="00D44AE6"/>
    <w:rsid w:val="00D70221"/>
    <w:rsid w:val="00DA5BFC"/>
    <w:rsid w:val="00DD25DF"/>
    <w:rsid w:val="00E02B26"/>
    <w:rsid w:val="00E73D3A"/>
    <w:rsid w:val="00EC5C4D"/>
    <w:rsid w:val="00EE38F0"/>
    <w:rsid w:val="00EE4AA9"/>
    <w:rsid w:val="00F57D44"/>
    <w:rsid w:val="00F6168C"/>
    <w:rsid w:val="00F7606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CEAA4"/>
  <w15:chartTrackingRefBased/>
  <w15:docId w15:val="{0AB92EA5-F02C-44AD-902C-CAB8F528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221"/>
    <w:pPr>
      <w:spacing w:after="0" w:line="240" w:lineRule="auto"/>
    </w:pPr>
    <w:rPr>
      <w:rFonts w:ascii="Calibri" w:hAnsi="Calibri" w:cs="Calibri"/>
      <w:lang w:eastAsia="es-A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0221"/>
    <w:pPr>
      <w:ind w:left="720"/>
    </w:pPr>
  </w:style>
  <w:style w:type="paragraph" w:styleId="Encabezado">
    <w:name w:val="header"/>
    <w:basedOn w:val="Normal"/>
    <w:link w:val="EncabezadoCar"/>
    <w:uiPriority w:val="99"/>
    <w:unhideWhenUsed/>
    <w:rsid w:val="009C54E7"/>
    <w:pPr>
      <w:tabs>
        <w:tab w:val="center" w:pos="4252"/>
        <w:tab w:val="right" w:pos="8504"/>
      </w:tabs>
    </w:pPr>
  </w:style>
  <w:style w:type="character" w:customStyle="1" w:styleId="EncabezadoCar">
    <w:name w:val="Encabezado Car"/>
    <w:basedOn w:val="Fuentedeprrafopredeter"/>
    <w:link w:val="Encabezado"/>
    <w:uiPriority w:val="99"/>
    <w:rsid w:val="009C54E7"/>
    <w:rPr>
      <w:rFonts w:ascii="Calibri" w:hAnsi="Calibri" w:cs="Calibri"/>
      <w:lang w:eastAsia="es-AR"/>
    </w:rPr>
  </w:style>
  <w:style w:type="paragraph" w:styleId="Piedepgina">
    <w:name w:val="footer"/>
    <w:basedOn w:val="Normal"/>
    <w:link w:val="PiedepginaCar"/>
    <w:uiPriority w:val="99"/>
    <w:unhideWhenUsed/>
    <w:rsid w:val="009C54E7"/>
    <w:pPr>
      <w:tabs>
        <w:tab w:val="center" w:pos="4252"/>
        <w:tab w:val="right" w:pos="8504"/>
      </w:tabs>
    </w:pPr>
  </w:style>
  <w:style w:type="character" w:customStyle="1" w:styleId="PiedepginaCar">
    <w:name w:val="Pie de página Car"/>
    <w:basedOn w:val="Fuentedeprrafopredeter"/>
    <w:link w:val="Piedepgina"/>
    <w:uiPriority w:val="99"/>
    <w:rsid w:val="009C54E7"/>
    <w:rPr>
      <w:rFonts w:ascii="Calibri" w:hAnsi="Calibri" w:cs="Calibri"/>
      <w:lang w:eastAsia="es-AR"/>
    </w:rPr>
  </w:style>
  <w:style w:type="paragraph" w:styleId="Textonotapie">
    <w:name w:val="footnote text"/>
    <w:basedOn w:val="Normal"/>
    <w:link w:val="TextonotapieCar"/>
    <w:uiPriority w:val="99"/>
    <w:semiHidden/>
    <w:unhideWhenUsed/>
    <w:rsid w:val="00236C27"/>
    <w:rPr>
      <w:rFonts w:ascii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236C27"/>
    <w:rPr>
      <w:sz w:val="20"/>
      <w:szCs w:val="20"/>
    </w:rPr>
  </w:style>
  <w:style w:type="character" w:styleId="Refdenotaalpie">
    <w:name w:val="footnote reference"/>
    <w:basedOn w:val="Fuentedeprrafopredeter"/>
    <w:semiHidden/>
    <w:unhideWhenUsed/>
    <w:rsid w:val="00236C27"/>
    <w:rPr>
      <w:vertAlign w:val="superscript"/>
    </w:rPr>
  </w:style>
  <w:style w:type="character" w:styleId="Hipervnculo">
    <w:name w:val="Hyperlink"/>
    <w:basedOn w:val="Fuentedeprrafopredeter"/>
    <w:uiPriority w:val="99"/>
    <w:unhideWhenUsed/>
    <w:rsid w:val="00A1595F"/>
    <w:rPr>
      <w:color w:val="0563C1" w:themeColor="hyperlink"/>
      <w:u w:val="single"/>
    </w:rPr>
  </w:style>
  <w:style w:type="character" w:customStyle="1" w:styleId="Mencinsinresolver1">
    <w:name w:val="Mención sin resolver1"/>
    <w:basedOn w:val="Fuentedeprrafopredeter"/>
    <w:uiPriority w:val="99"/>
    <w:semiHidden/>
    <w:unhideWhenUsed/>
    <w:rsid w:val="00160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584723">
      <w:bodyDiv w:val="1"/>
      <w:marLeft w:val="0"/>
      <w:marRight w:val="0"/>
      <w:marTop w:val="0"/>
      <w:marBottom w:val="0"/>
      <w:divBdr>
        <w:top w:val="none" w:sz="0" w:space="0" w:color="auto"/>
        <w:left w:val="none" w:sz="0" w:space="0" w:color="auto"/>
        <w:bottom w:val="none" w:sz="0" w:space="0" w:color="auto"/>
        <w:right w:val="none" w:sz="0" w:space="0" w:color="auto"/>
      </w:divBdr>
    </w:div>
    <w:div w:id="255480749">
      <w:bodyDiv w:val="1"/>
      <w:marLeft w:val="0"/>
      <w:marRight w:val="0"/>
      <w:marTop w:val="0"/>
      <w:marBottom w:val="0"/>
      <w:divBdr>
        <w:top w:val="none" w:sz="0" w:space="0" w:color="auto"/>
        <w:left w:val="none" w:sz="0" w:space="0" w:color="auto"/>
        <w:bottom w:val="none" w:sz="0" w:space="0" w:color="auto"/>
        <w:right w:val="none" w:sz="0" w:space="0" w:color="auto"/>
      </w:divBdr>
    </w:div>
    <w:div w:id="387651568">
      <w:bodyDiv w:val="1"/>
      <w:marLeft w:val="0"/>
      <w:marRight w:val="0"/>
      <w:marTop w:val="0"/>
      <w:marBottom w:val="0"/>
      <w:divBdr>
        <w:top w:val="none" w:sz="0" w:space="0" w:color="auto"/>
        <w:left w:val="none" w:sz="0" w:space="0" w:color="auto"/>
        <w:bottom w:val="none" w:sz="0" w:space="0" w:color="auto"/>
        <w:right w:val="none" w:sz="0" w:space="0" w:color="auto"/>
      </w:divBdr>
    </w:div>
    <w:div w:id="421265692">
      <w:bodyDiv w:val="1"/>
      <w:marLeft w:val="0"/>
      <w:marRight w:val="0"/>
      <w:marTop w:val="0"/>
      <w:marBottom w:val="0"/>
      <w:divBdr>
        <w:top w:val="none" w:sz="0" w:space="0" w:color="auto"/>
        <w:left w:val="none" w:sz="0" w:space="0" w:color="auto"/>
        <w:bottom w:val="none" w:sz="0" w:space="0" w:color="auto"/>
        <w:right w:val="none" w:sz="0" w:space="0" w:color="auto"/>
      </w:divBdr>
    </w:div>
    <w:div w:id="428278598">
      <w:bodyDiv w:val="1"/>
      <w:marLeft w:val="0"/>
      <w:marRight w:val="0"/>
      <w:marTop w:val="0"/>
      <w:marBottom w:val="0"/>
      <w:divBdr>
        <w:top w:val="none" w:sz="0" w:space="0" w:color="auto"/>
        <w:left w:val="none" w:sz="0" w:space="0" w:color="auto"/>
        <w:bottom w:val="none" w:sz="0" w:space="0" w:color="auto"/>
        <w:right w:val="none" w:sz="0" w:space="0" w:color="auto"/>
      </w:divBdr>
    </w:div>
    <w:div w:id="472064875">
      <w:bodyDiv w:val="1"/>
      <w:marLeft w:val="0"/>
      <w:marRight w:val="0"/>
      <w:marTop w:val="0"/>
      <w:marBottom w:val="0"/>
      <w:divBdr>
        <w:top w:val="none" w:sz="0" w:space="0" w:color="auto"/>
        <w:left w:val="none" w:sz="0" w:space="0" w:color="auto"/>
        <w:bottom w:val="none" w:sz="0" w:space="0" w:color="auto"/>
        <w:right w:val="none" w:sz="0" w:space="0" w:color="auto"/>
      </w:divBdr>
    </w:div>
    <w:div w:id="561914718">
      <w:bodyDiv w:val="1"/>
      <w:marLeft w:val="0"/>
      <w:marRight w:val="0"/>
      <w:marTop w:val="0"/>
      <w:marBottom w:val="0"/>
      <w:divBdr>
        <w:top w:val="none" w:sz="0" w:space="0" w:color="auto"/>
        <w:left w:val="none" w:sz="0" w:space="0" w:color="auto"/>
        <w:bottom w:val="none" w:sz="0" w:space="0" w:color="auto"/>
        <w:right w:val="none" w:sz="0" w:space="0" w:color="auto"/>
      </w:divBdr>
    </w:div>
    <w:div w:id="610363690">
      <w:bodyDiv w:val="1"/>
      <w:marLeft w:val="0"/>
      <w:marRight w:val="0"/>
      <w:marTop w:val="0"/>
      <w:marBottom w:val="0"/>
      <w:divBdr>
        <w:top w:val="none" w:sz="0" w:space="0" w:color="auto"/>
        <w:left w:val="none" w:sz="0" w:space="0" w:color="auto"/>
        <w:bottom w:val="none" w:sz="0" w:space="0" w:color="auto"/>
        <w:right w:val="none" w:sz="0" w:space="0" w:color="auto"/>
      </w:divBdr>
    </w:div>
    <w:div w:id="642197333">
      <w:bodyDiv w:val="1"/>
      <w:marLeft w:val="0"/>
      <w:marRight w:val="0"/>
      <w:marTop w:val="0"/>
      <w:marBottom w:val="0"/>
      <w:divBdr>
        <w:top w:val="none" w:sz="0" w:space="0" w:color="auto"/>
        <w:left w:val="none" w:sz="0" w:space="0" w:color="auto"/>
        <w:bottom w:val="none" w:sz="0" w:space="0" w:color="auto"/>
        <w:right w:val="none" w:sz="0" w:space="0" w:color="auto"/>
      </w:divBdr>
    </w:div>
    <w:div w:id="694385373">
      <w:bodyDiv w:val="1"/>
      <w:marLeft w:val="0"/>
      <w:marRight w:val="0"/>
      <w:marTop w:val="0"/>
      <w:marBottom w:val="0"/>
      <w:divBdr>
        <w:top w:val="none" w:sz="0" w:space="0" w:color="auto"/>
        <w:left w:val="none" w:sz="0" w:space="0" w:color="auto"/>
        <w:bottom w:val="none" w:sz="0" w:space="0" w:color="auto"/>
        <w:right w:val="none" w:sz="0" w:space="0" w:color="auto"/>
      </w:divBdr>
    </w:div>
    <w:div w:id="725832873">
      <w:bodyDiv w:val="1"/>
      <w:marLeft w:val="0"/>
      <w:marRight w:val="0"/>
      <w:marTop w:val="0"/>
      <w:marBottom w:val="0"/>
      <w:divBdr>
        <w:top w:val="none" w:sz="0" w:space="0" w:color="auto"/>
        <w:left w:val="none" w:sz="0" w:space="0" w:color="auto"/>
        <w:bottom w:val="none" w:sz="0" w:space="0" w:color="auto"/>
        <w:right w:val="none" w:sz="0" w:space="0" w:color="auto"/>
      </w:divBdr>
    </w:div>
    <w:div w:id="919752023">
      <w:bodyDiv w:val="1"/>
      <w:marLeft w:val="0"/>
      <w:marRight w:val="0"/>
      <w:marTop w:val="0"/>
      <w:marBottom w:val="0"/>
      <w:divBdr>
        <w:top w:val="none" w:sz="0" w:space="0" w:color="auto"/>
        <w:left w:val="none" w:sz="0" w:space="0" w:color="auto"/>
        <w:bottom w:val="none" w:sz="0" w:space="0" w:color="auto"/>
        <w:right w:val="none" w:sz="0" w:space="0" w:color="auto"/>
      </w:divBdr>
    </w:div>
    <w:div w:id="981543191">
      <w:bodyDiv w:val="1"/>
      <w:marLeft w:val="0"/>
      <w:marRight w:val="0"/>
      <w:marTop w:val="0"/>
      <w:marBottom w:val="0"/>
      <w:divBdr>
        <w:top w:val="none" w:sz="0" w:space="0" w:color="auto"/>
        <w:left w:val="none" w:sz="0" w:space="0" w:color="auto"/>
        <w:bottom w:val="none" w:sz="0" w:space="0" w:color="auto"/>
        <w:right w:val="none" w:sz="0" w:space="0" w:color="auto"/>
      </w:divBdr>
    </w:div>
    <w:div w:id="1020742461">
      <w:bodyDiv w:val="1"/>
      <w:marLeft w:val="0"/>
      <w:marRight w:val="0"/>
      <w:marTop w:val="0"/>
      <w:marBottom w:val="0"/>
      <w:divBdr>
        <w:top w:val="none" w:sz="0" w:space="0" w:color="auto"/>
        <w:left w:val="none" w:sz="0" w:space="0" w:color="auto"/>
        <w:bottom w:val="none" w:sz="0" w:space="0" w:color="auto"/>
        <w:right w:val="none" w:sz="0" w:space="0" w:color="auto"/>
      </w:divBdr>
    </w:div>
    <w:div w:id="1379091331">
      <w:bodyDiv w:val="1"/>
      <w:marLeft w:val="0"/>
      <w:marRight w:val="0"/>
      <w:marTop w:val="0"/>
      <w:marBottom w:val="0"/>
      <w:divBdr>
        <w:top w:val="none" w:sz="0" w:space="0" w:color="auto"/>
        <w:left w:val="none" w:sz="0" w:space="0" w:color="auto"/>
        <w:bottom w:val="none" w:sz="0" w:space="0" w:color="auto"/>
        <w:right w:val="none" w:sz="0" w:space="0" w:color="auto"/>
      </w:divBdr>
    </w:div>
    <w:div w:id="1455172956">
      <w:bodyDiv w:val="1"/>
      <w:marLeft w:val="0"/>
      <w:marRight w:val="0"/>
      <w:marTop w:val="0"/>
      <w:marBottom w:val="0"/>
      <w:divBdr>
        <w:top w:val="none" w:sz="0" w:space="0" w:color="auto"/>
        <w:left w:val="none" w:sz="0" w:space="0" w:color="auto"/>
        <w:bottom w:val="none" w:sz="0" w:space="0" w:color="auto"/>
        <w:right w:val="none" w:sz="0" w:space="0" w:color="auto"/>
      </w:divBdr>
    </w:div>
    <w:div w:id="199251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759</Words>
  <Characters>4175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Petitto</dc:creator>
  <cp:keywords/>
  <dc:description/>
  <cp:lastModifiedBy>ramiro petitto</cp:lastModifiedBy>
  <cp:revision>3</cp:revision>
  <cp:lastPrinted>2022-09-01T20:47:00Z</cp:lastPrinted>
  <dcterms:created xsi:type="dcterms:W3CDTF">2025-05-23T17:17:00Z</dcterms:created>
  <dcterms:modified xsi:type="dcterms:W3CDTF">2025-05-23T17:18:00Z</dcterms:modified>
</cp:coreProperties>
</file>