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6012" w14:textId="73EB3398" w:rsidR="00A1595F" w:rsidRDefault="00A1595F" w:rsidP="009E2BE7">
      <w:pPr>
        <w:jc w:val="both"/>
      </w:pPr>
    </w:p>
    <w:p w14:paraId="5CFBDCF7" w14:textId="715D00F5" w:rsidR="00B75C10" w:rsidRPr="00B75C10" w:rsidRDefault="002E3042" w:rsidP="009E2BE7">
      <w:pPr>
        <w:spacing w:after="200"/>
        <w:jc w:val="right"/>
        <w:rPr>
          <w:rFonts w:ascii="Garamond" w:eastAsia="Calibri" w:hAnsi="Garamond" w:cs="Times New Roman"/>
          <w:sz w:val="24"/>
          <w:szCs w:val="24"/>
          <w:lang w:eastAsia="en-US"/>
        </w:rPr>
      </w:pPr>
      <w:r>
        <w:rPr>
          <w:rFonts w:ascii="Garamond" w:eastAsia="Calibri" w:hAnsi="Garamond" w:cs="Times New Roman"/>
          <w:sz w:val="24"/>
          <w:szCs w:val="24"/>
          <w:lang w:eastAsia="en-US"/>
        </w:rPr>
        <w:t xml:space="preserve">Viernes, 14 de </w:t>
      </w:r>
      <w:proofErr w:type="gramStart"/>
      <w:r>
        <w:rPr>
          <w:rFonts w:ascii="Garamond" w:eastAsia="Calibri" w:hAnsi="Garamond" w:cs="Times New Roman"/>
          <w:sz w:val="24"/>
          <w:szCs w:val="24"/>
          <w:lang w:eastAsia="en-US"/>
        </w:rPr>
        <w:t>Febrero</w:t>
      </w:r>
      <w:proofErr w:type="gramEnd"/>
      <w:r w:rsidR="006E3BD0">
        <w:rPr>
          <w:rFonts w:ascii="Garamond" w:eastAsia="Calibri" w:hAnsi="Garamond" w:cs="Times New Roman"/>
          <w:sz w:val="24"/>
          <w:szCs w:val="24"/>
          <w:lang w:eastAsia="en-US"/>
        </w:rPr>
        <w:t xml:space="preserve"> de 2025</w:t>
      </w:r>
      <w:r w:rsidR="00B75C10" w:rsidRPr="00B75C10">
        <w:rPr>
          <w:rFonts w:ascii="Garamond" w:eastAsia="Calibri" w:hAnsi="Garamond" w:cs="Times New Roman"/>
          <w:sz w:val="24"/>
          <w:szCs w:val="24"/>
          <w:lang w:eastAsia="en-US"/>
        </w:rPr>
        <w:t xml:space="preserve"> </w:t>
      </w:r>
    </w:p>
    <w:p w14:paraId="65E4971D" w14:textId="77777777" w:rsidR="009E2BE7" w:rsidRDefault="009E2BE7" w:rsidP="009E2BE7">
      <w:pPr>
        <w:spacing w:after="200"/>
        <w:jc w:val="center"/>
        <w:rPr>
          <w:rFonts w:ascii="Garamond" w:eastAsia="Calibri" w:hAnsi="Garamond" w:cs="Times New Roman"/>
          <w:sz w:val="24"/>
          <w:szCs w:val="24"/>
          <w:lang w:eastAsia="en-US"/>
        </w:rPr>
      </w:pPr>
    </w:p>
    <w:p w14:paraId="7344CC2E" w14:textId="4A5EDAFD" w:rsidR="009E2BE7" w:rsidRDefault="002E3042" w:rsidP="002E3042">
      <w:pPr>
        <w:jc w:val="center"/>
        <w:rPr>
          <w:rFonts w:ascii="Garamond" w:hAnsi="Garamond"/>
          <w:b/>
          <w:bCs/>
          <w:sz w:val="24"/>
          <w:szCs w:val="24"/>
        </w:rPr>
      </w:pPr>
      <w:r w:rsidRPr="00A45263">
        <w:rPr>
          <w:rFonts w:ascii="Garamond" w:hAnsi="Garamond"/>
          <w:b/>
          <w:bCs/>
          <w:sz w:val="24"/>
          <w:szCs w:val="24"/>
        </w:rPr>
        <w:t>INFORME</w:t>
      </w:r>
    </w:p>
    <w:p w14:paraId="4671F3CB" w14:textId="77777777" w:rsidR="006E3BD0" w:rsidRPr="002E3042" w:rsidRDefault="006E3BD0" w:rsidP="002E3042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0FD832B8" w14:textId="5EB73065" w:rsidR="009E2BE7" w:rsidRDefault="002E3042" w:rsidP="006E3BD0">
      <w:pPr>
        <w:spacing w:after="200"/>
        <w:jc w:val="center"/>
        <w:rPr>
          <w:rFonts w:ascii="Garamond" w:eastAsia="Calibri" w:hAnsi="Garamond" w:cs="Times New Roman"/>
          <w:b/>
          <w:sz w:val="24"/>
          <w:szCs w:val="24"/>
          <w:lang w:eastAsia="en-US"/>
        </w:rPr>
      </w:pPr>
      <w:r w:rsidRPr="00A45263">
        <w:rPr>
          <w:rFonts w:ascii="Garamond" w:hAnsi="Garamond"/>
          <w:b/>
          <w:bCs/>
          <w:sz w:val="24"/>
          <w:szCs w:val="24"/>
        </w:rPr>
        <w:t>RESOLUCIÓN DE LA SECRETARÍA DE ENERGÍA 21/2025</w:t>
      </w:r>
    </w:p>
    <w:p w14:paraId="098ADCFA" w14:textId="77777777" w:rsidR="006E3BD0" w:rsidRPr="006E3BD0" w:rsidRDefault="006E3BD0" w:rsidP="006E3BD0">
      <w:pPr>
        <w:spacing w:after="200"/>
        <w:jc w:val="center"/>
        <w:rPr>
          <w:rFonts w:ascii="Garamond" w:eastAsia="Calibri" w:hAnsi="Garamond" w:cs="Times New Roman"/>
          <w:b/>
          <w:sz w:val="24"/>
          <w:szCs w:val="24"/>
          <w:lang w:eastAsia="en-US"/>
        </w:rPr>
      </w:pPr>
    </w:p>
    <w:p w14:paraId="270CF940" w14:textId="60CC7126" w:rsidR="002E3042" w:rsidRPr="006E3BD0" w:rsidRDefault="002E3042" w:rsidP="002E3042">
      <w:pPr>
        <w:jc w:val="both"/>
        <w:rPr>
          <w:rFonts w:ascii="Garamond" w:hAnsi="Garamond"/>
          <w:b/>
          <w:bCs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I. Introducción</w:t>
      </w:r>
    </w:p>
    <w:p w14:paraId="4D276EC4" w14:textId="77777777" w:rsidR="006E3BD0" w:rsidRPr="006E3BD0" w:rsidRDefault="006E3BD0" w:rsidP="002E3042">
      <w:pPr>
        <w:jc w:val="both"/>
        <w:rPr>
          <w:rFonts w:ascii="Garamond" w:hAnsi="Garamond"/>
          <w:sz w:val="24"/>
          <w:szCs w:val="24"/>
        </w:rPr>
      </w:pPr>
    </w:p>
    <w:p w14:paraId="37C2C1FA" w14:textId="514E8A96" w:rsidR="002E3042" w:rsidRPr="006E3BD0" w:rsidRDefault="002E3042" w:rsidP="002E3042">
      <w:pPr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>Este informe técnico se basa en la información disponible a la fecha. Cualquier modificación normativa posterior deberá analizarse específicamente para evaluar los impactos concretos sobre cada caso en particular.</w:t>
      </w:r>
    </w:p>
    <w:p w14:paraId="534741D0" w14:textId="77777777" w:rsidR="006E3BD0" w:rsidRPr="006E3BD0" w:rsidRDefault="006E3BD0" w:rsidP="002E3042">
      <w:pPr>
        <w:jc w:val="both"/>
        <w:rPr>
          <w:rFonts w:ascii="Garamond" w:hAnsi="Garamond"/>
          <w:sz w:val="24"/>
          <w:szCs w:val="24"/>
        </w:rPr>
      </w:pPr>
    </w:p>
    <w:p w14:paraId="45985BDD" w14:textId="7B7BB121" w:rsidR="002E3042" w:rsidRPr="006E3BD0" w:rsidRDefault="002E3042" w:rsidP="002E3042">
      <w:pPr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La </w:t>
      </w:r>
      <w:r w:rsidRPr="006E3BD0">
        <w:rPr>
          <w:rFonts w:ascii="Garamond" w:hAnsi="Garamond"/>
          <w:b/>
          <w:bCs/>
          <w:sz w:val="24"/>
          <w:szCs w:val="24"/>
        </w:rPr>
        <w:t>Resolución SE 21/2025</w:t>
      </w:r>
      <w:r w:rsidRPr="006E3BD0">
        <w:rPr>
          <w:rFonts w:ascii="Garamond" w:hAnsi="Garamond"/>
          <w:sz w:val="24"/>
          <w:szCs w:val="24"/>
        </w:rPr>
        <w:t xml:space="preserve"> (en adelante, la “Resolución”) constituye un hito relevante en el marco regulatorio del sector eléctrico argentino. Su importancia radica en que introduce elementos que apuntan a una </w:t>
      </w:r>
      <w:r w:rsidRPr="006E3BD0">
        <w:rPr>
          <w:rFonts w:ascii="Garamond" w:hAnsi="Garamond"/>
          <w:b/>
          <w:bCs/>
          <w:sz w:val="24"/>
          <w:szCs w:val="24"/>
        </w:rPr>
        <w:t>mayor flexibilidad</w:t>
      </w:r>
      <w:r w:rsidRPr="006E3BD0">
        <w:rPr>
          <w:rFonts w:ascii="Garamond" w:hAnsi="Garamond"/>
          <w:sz w:val="24"/>
          <w:szCs w:val="24"/>
        </w:rPr>
        <w:t xml:space="preserve">, </w:t>
      </w:r>
      <w:r w:rsidRPr="006E3BD0">
        <w:rPr>
          <w:rFonts w:ascii="Garamond" w:hAnsi="Garamond"/>
          <w:b/>
          <w:bCs/>
          <w:sz w:val="24"/>
          <w:szCs w:val="24"/>
        </w:rPr>
        <w:t>transparencia</w:t>
      </w:r>
      <w:r w:rsidRPr="006E3BD0">
        <w:rPr>
          <w:rFonts w:ascii="Garamond" w:hAnsi="Garamond"/>
          <w:sz w:val="24"/>
          <w:szCs w:val="24"/>
        </w:rPr>
        <w:t xml:space="preserve"> y </w:t>
      </w:r>
      <w:r w:rsidRPr="006E3BD0">
        <w:rPr>
          <w:rFonts w:ascii="Garamond" w:hAnsi="Garamond"/>
          <w:b/>
          <w:bCs/>
          <w:sz w:val="24"/>
          <w:szCs w:val="24"/>
        </w:rPr>
        <w:t>eficiencia</w:t>
      </w:r>
      <w:r w:rsidRPr="006E3BD0">
        <w:rPr>
          <w:rFonts w:ascii="Garamond" w:hAnsi="Garamond"/>
          <w:sz w:val="24"/>
          <w:szCs w:val="24"/>
        </w:rPr>
        <w:t xml:space="preserve"> en el Mercado Eléctrico Mayorista (MEM), con miras a revitalizar ciertos aspectos del sistema que funcionaron en las décadas pasadas, pero adaptándolos a la situación actual.</w:t>
      </w:r>
    </w:p>
    <w:p w14:paraId="00A19144" w14:textId="77777777" w:rsidR="006E3BD0" w:rsidRPr="006E3BD0" w:rsidRDefault="006E3BD0" w:rsidP="002E3042">
      <w:pPr>
        <w:jc w:val="both"/>
        <w:rPr>
          <w:rFonts w:ascii="Garamond" w:hAnsi="Garamond"/>
          <w:sz w:val="24"/>
          <w:szCs w:val="24"/>
        </w:rPr>
      </w:pPr>
    </w:p>
    <w:p w14:paraId="01090CBF" w14:textId="6FB4A818" w:rsidR="002E3042" w:rsidRPr="006E3BD0" w:rsidRDefault="002E3042" w:rsidP="002E3042">
      <w:pPr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Este informe tiene por objeto explicar los </w:t>
      </w:r>
      <w:r w:rsidRPr="006E3BD0">
        <w:rPr>
          <w:rFonts w:ascii="Garamond" w:hAnsi="Garamond"/>
          <w:b/>
          <w:bCs/>
          <w:sz w:val="24"/>
          <w:szCs w:val="24"/>
        </w:rPr>
        <w:t>puntos más destacados</w:t>
      </w:r>
      <w:r w:rsidRPr="006E3BD0">
        <w:rPr>
          <w:rFonts w:ascii="Garamond" w:hAnsi="Garamond"/>
          <w:sz w:val="24"/>
          <w:szCs w:val="24"/>
        </w:rPr>
        <w:t xml:space="preserve"> de la Resolución, sus </w:t>
      </w:r>
      <w:r w:rsidRPr="006E3BD0">
        <w:rPr>
          <w:rFonts w:ascii="Garamond" w:hAnsi="Garamond"/>
          <w:b/>
          <w:bCs/>
          <w:sz w:val="24"/>
          <w:szCs w:val="24"/>
        </w:rPr>
        <w:t>implicancias jurídicas y técnicas</w:t>
      </w:r>
      <w:r w:rsidRPr="006E3BD0">
        <w:rPr>
          <w:rFonts w:ascii="Garamond" w:hAnsi="Garamond"/>
          <w:sz w:val="24"/>
          <w:szCs w:val="24"/>
        </w:rPr>
        <w:t xml:space="preserve">, así como los </w:t>
      </w:r>
      <w:r w:rsidRPr="006E3BD0">
        <w:rPr>
          <w:rFonts w:ascii="Garamond" w:hAnsi="Garamond"/>
          <w:b/>
          <w:bCs/>
          <w:sz w:val="24"/>
          <w:szCs w:val="24"/>
        </w:rPr>
        <w:t>desafíos</w:t>
      </w:r>
      <w:r w:rsidRPr="006E3BD0">
        <w:rPr>
          <w:rFonts w:ascii="Garamond" w:hAnsi="Garamond"/>
          <w:sz w:val="24"/>
          <w:szCs w:val="24"/>
        </w:rPr>
        <w:t xml:space="preserve"> que se presentan para su correcta implementación.</w:t>
      </w:r>
    </w:p>
    <w:p w14:paraId="533ABE99" w14:textId="77777777" w:rsidR="002E3042" w:rsidRPr="006E3BD0" w:rsidRDefault="002E3042" w:rsidP="002E3042">
      <w:pPr>
        <w:jc w:val="both"/>
        <w:rPr>
          <w:rFonts w:ascii="Garamond" w:hAnsi="Garamond"/>
          <w:sz w:val="24"/>
          <w:szCs w:val="24"/>
        </w:rPr>
      </w:pPr>
    </w:p>
    <w:p w14:paraId="0FAECACE" w14:textId="77777777" w:rsidR="002E3042" w:rsidRPr="006E3BD0" w:rsidRDefault="002E3042" w:rsidP="002E3042">
      <w:pPr>
        <w:jc w:val="both"/>
        <w:rPr>
          <w:rFonts w:ascii="Garamond" w:hAnsi="Garamond"/>
          <w:b/>
          <w:bCs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II. Antecedentes y marco normativo</w:t>
      </w:r>
    </w:p>
    <w:p w14:paraId="7E883BDD" w14:textId="77777777" w:rsidR="006E3BD0" w:rsidRPr="006E3BD0" w:rsidRDefault="006E3BD0" w:rsidP="002E3042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3FA6E9E6" w14:textId="77777777" w:rsidR="002E3042" w:rsidRPr="006E3BD0" w:rsidRDefault="002E3042" w:rsidP="002E3042">
      <w:pPr>
        <w:numPr>
          <w:ilvl w:val="0"/>
          <w:numId w:val="20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Origen del MEM en la década de los 90</w:t>
      </w:r>
    </w:p>
    <w:p w14:paraId="0167E4B7" w14:textId="77777777" w:rsidR="002E3042" w:rsidRPr="006E3BD0" w:rsidRDefault="002E3042" w:rsidP="002E3042">
      <w:pPr>
        <w:numPr>
          <w:ilvl w:val="1"/>
          <w:numId w:val="20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Se estableció un mercado mayorista dividido en </w:t>
      </w:r>
      <w:r w:rsidRPr="006E3BD0">
        <w:rPr>
          <w:rFonts w:ascii="Garamond" w:hAnsi="Garamond"/>
          <w:b/>
          <w:bCs/>
          <w:sz w:val="24"/>
          <w:szCs w:val="24"/>
        </w:rPr>
        <w:t>Mercado Spot</w:t>
      </w:r>
      <w:r w:rsidRPr="006E3BD0">
        <w:rPr>
          <w:rFonts w:ascii="Garamond" w:hAnsi="Garamond"/>
          <w:sz w:val="24"/>
          <w:szCs w:val="24"/>
        </w:rPr>
        <w:t xml:space="preserve"> y </w:t>
      </w:r>
      <w:r w:rsidRPr="006E3BD0">
        <w:rPr>
          <w:rFonts w:ascii="Garamond" w:hAnsi="Garamond"/>
          <w:b/>
          <w:bCs/>
          <w:sz w:val="24"/>
          <w:szCs w:val="24"/>
        </w:rPr>
        <w:t>Mercado a Término</w:t>
      </w:r>
      <w:r w:rsidRPr="006E3BD0">
        <w:rPr>
          <w:rFonts w:ascii="Garamond" w:hAnsi="Garamond"/>
          <w:sz w:val="24"/>
          <w:szCs w:val="24"/>
        </w:rPr>
        <w:t xml:space="preserve">, administrado por CAMMESA como </w:t>
      </w:r>
      <w:r w:rsidRPr="006E3BD0">
        <w:rPr>
          <w:rFonts w:ascii="Garamond" w:hAnsi="Garamond"/>
          <w:b/>
          <w:bCs/>
          <w:sz w:val="24"/>
          <w:szCs w:val="24"/>
        </w:rPr>
        <w:t>compañía administradora sin fines de lucro</w:t>
      </w:r>
      <w:r w:rsidRPr="006E3BD0">
        <w:rPr>
          <w:rFonts w:ascii="Garamond" w:hAnsi="Garamond"/>
          <w:sz w:val="24"/>
          <w:szCs w:val="24"/>
        </w:rPr>
        <w:t>.</w:t>
      </w:r>
    </w:p>
    <w:p w14:paraId="09BDF0E3" w14:textId="77777777" w:rsidR="002E3042" w:rsidRPr="006E3BD0" w:rsidRDefault="002E3042" w:rsidP="002E3042">
      <w:pPr>
        <w:numPr>
          <w:ilvl w:val="1"/>
          <w:numId w:val="20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Se adoptó el </w:t>
      </w:r>
      <w:r w:rsidRPr="006E3BD0">
        <w:rPr>
          <w:rFonts w:ascii="Garamond" w:hAnsi="Garamond"/>
          <w:b/>
          <w:bCs/>
          <w:sz w:val="24"/>
          <w:szCs w:val="24"/>
        </w:rPr>
        <w:t>costo marginal de corto plazo</w:t>
      </w:r>
      <w:r w:rsidRPr="006E3BD0">
        <w:rPr>
          <w:rFonts w:ascii="Garamond" w:hAnsi="Garamond"/>
          <w:sz w:val="24"/>
          <w:szCs w:val="24"/>
        </w:rPr>
        <w:t xml:space="preserve"> como base para la formación de precios de potencia y energía, complementado por el concepto de </w:t>
      </w:r>
      <w:r w:rsidRPr="006E3BD0">
        <w:rPr>
          <w:rFonts w:ascii="Garamond" w:hAnsi="Garamond"/>
          <w:b/>
          <w:bCs/>
          <w:sz w:val="24"/>
          <w:szCs w:val="24"/>
        </w:rPr>
        <w:t>Energía No Suministrada (ENS)</w:t>
      </w:r>
      <w:r w:rsidRPr="006E3BD0">
        <w:rPr>
          <w:rFonts w:ascii="Garamond" w:hAnsi="Garamond"/>
          <w:sz w:val="24"/>
          <w:szCs w:val="24"/>
        </w:rPr>
        <w:t>.</w:t>
      </w:r>
    </w:p>
    <w:p w14:paraId="56CEF4FA" w14:textId="77777777" w:rsidR="002E3042" w:rsidRPr="006E3BD0" w:rsidRDefault="002E3042" w:rsidP="002E3042">
      <w:pPr>
        <w:numPr>
          <w:ilvl w:val="1"/>
          <w:numId w:val="20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El objetivo era permitir </w:t>
      </w:r>
      <w:r w:rsidRPr="006E3BD0">
        <w:rPr>
          <w:rFonts w:ascii="Garamond" w:hAnsi="Garamond"/>
          <w:b/>
          <w:bCs/>
          <w:sz w:val="24"/>
          <w:szCs w:val="24"/>
        </w:rPr>
        <w:t>contratos libremente pactados</w:t>
      </w:r>
      <w:r w:rsidRPr="006E3BD0">
        <w:rPr>
          <w:rFonts w:ascii="Garamond" w:hAnsi="Garamond"/>
          <w:sz w:val="24"/>
          <w:szCs w:val="24"/>
        </w:rPr>
        <w:t xml:space="preserve"> entre distribuidoras, grandes usuarios y generadores, con ciertas restricciones regulatorias.</w:t>
      </w:r>
    </w:p>
    <w:p w14:paraId="5C990F38" w14:textId="77777777" w:rsidR="002E3042" w:rsidRPr="006E3BD0" w:rsidRDefault="002E3042" w:rsidP="002E3042">
      <w:pPr>
        <w:numPr>
          <w:ilvl w:val="0"/>
          <w:numId w:val="20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Crisis de 2001 y modificaciones posteriores</w:t>
      </w:r>
    </w:p>
    <w:p w14:paraId="76E9CB2E" w14:textId="77777777" w:rsidR="002E3042" w:rsidRPr="006E3BD0" w:rsidRDefault="002E3042" w:rsidP="002E3042">
      <w:pPr>
        <w:numPr>
          <w:ilvl w:val="1"/>
          <w:numId w:val="20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Congelamiento y pesificación de tarifas</w:t>
      </w:r>
      <w:r w:rsidRPr="006E3BD0">
        <w:rPr>
          <w:rFonts w:ascii="Garamond" w:hAnsi="Garamond"/>
          <w:sz w:val="24"/>
          <w:szCs w:val="24"/>
        </w:rPr>
        <w:t>.</w:t>
      </w:r>
    </w:p>
    <w:p w14:paraId="02249CE0" w14:textId="77777777" w:rsidR="002E3042" w:rsidRPr="006E3BD0" w:rsidRDefault="002E3042" w:rsidP="002E3042">
      <w:pPr>
        <w:numPr>
          <w:ilvl w:val="1"/>
          <w:numId w:val="20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Desaparición progresiva</w:t>
      </w:r>
      <w:r w:rsidRPr="006E3BD0">
        <w:rPr>
          <w:rFonts w:ascii="Garamond" w:hAnsi="Garamond"/>
          <w:sz w:val="24"/>
          <w:szCs w:val="24"/>
        </w:rPr>
        <w:t xml:space="preserve"> de la señal de precio vía costo marginal.</w:t>
      </w:r>
    </w:p>
    <w:p w14:paraId="51A2E5E9" w14:textId="77777777" w:rsidR="002E3042" w:rsidRPr="006E3BD0" w:rsidRDefault="002E3042" w:rsidP="002E3042">
      <w:pPr>
        <w:numPr>
          <w:ilvl w:val="1"/>
          <w:numId w:val="20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La paulatina pérdida de la administración “pura” de CAMMESA y su creciente intervención, particularmente en la </w:t>
      </w:r>
      <w:r w:rsidRPr="006E3BD0">
        <w:rPr>
          <w:rFonts w:ascii="Garamond" w:hAnsi="Garamond"/>
          <w:b/>
          <w:bCs/>
          <w:sz w:val="24"/>
          <w:szCs w:val="24"/>
        </w:rPr>
        <w:t>compra de gas</w:t>
      </w:r>
      <w:r w:rsidRPr="006E3BD0">
        <w:rPr>
          <w:rFonts w:ascii="Garamond" w:hAnsi="Garamond"/>
          <w:sz w:val="24"/>
          <w:szCs w:val="24"/>
        </w:rPr>
        <w:t xml:space="preserve"> para el parque térmico.</w:t>
      </w:r>
    </w:p>
    <w:p w14:paraId="715AFFC0" w14:textId="77777777" w:rsidR="002E3042" w:rsidRPr="006E3BD0" w:rsidRDefault="002E3042" w:rsidP="002E3042">
      <w:pPr>
        <w:numPr>
          <w:ilvl w:val="1"/>
          <w:numId w:val="20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lastRenderedPageBreak/>
        <w:t>Eliminación del componente tarifario por ENS</w:t>
      </w:r>
      <w:r w:rsidRPr="006E3BD0">
        <w:rPr>
          <w:rFonts w:ascii="Garamond" w:hAnsi="Garamond"/>
          <w:sz w:val="24"/>
          <w:szCs w:val="24"/>
        </w:rPr>
        <w:t>, debilitando la señal de inversión de largo plazo.</w:t>
      </w:r>
    </w:p>
    <w:p w14:paraId="4B124D01" w14:textId="77777777" w:rsidR="002E3042" w:rsidRPr="006E3BD0" w:rsidRDefault="002E3042" w:rsidP="002E3042">
      <w:pPr>
        <w:numPr>
          <w:ilvl w:val="1"/>
          <w:numId w:val="20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Restricciones a los </w:t>
      </w:r>
      <w:r w:rsidRPr="006E3BD0">
        <w:rPr>
          <w:rFonts w:ascii="Garamond" w:hAnsi="Garamond"/>
          <w:b/>
          <w:bCs/>
          <w:sz w:val="24"/>
          <w:szCs w:val="24"/>
        </w:rPr>
        <w:t>contratos de mercado a término</w:t>
      </w:r>
      <w:r w:rsidRPr="006E3BD0">
        <w:rPr>
          <w:rFonts w:ascii="Garamond" w:hAnsi="Garamond"/>
          <w:sz w:val="24"/>
          <w:szCs w:val="24"/>
        </w:rPr>
        <w:t>, salvo excepciones puntuales (MATER para renovables).</w:t>
      </w:r>
    </w:p>
    <w:p w14:paraId="1820FAB4" w14:textId="77777777" w:rsidR="002E3042" w:rsidRPr="006E3BD0" w:rsidRDefault="002E3042" w:rsidP="002E3042">
      <w:pPr>
        <w:numPr>
          <w:ilvl w:val="0"/>
          <w:numId w:val="20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Necesidad de un nuevo marco</w:t>
      </w:r>
    </w:p>
    <w:p w14:paraId="443E8EFA" w14:textId="77777777" w:rsidR="002E3042" w:rsidRPr="006E3BD0" w:rsidRDefault="002E3042" w:rsidP="002E3042">
      <w:pPr>
        <w:numPr>
          <w:ilvl w:val="1"/>
          <w:numId w:val="20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Las </w:t>
      </w:r>
      <w:r w:rsidRPr="006E3BD0">
        <w:rPr>
          <w:rFonts w:ascii="Garamond" w:hAnsi="Garamond"/>
          <w:b/>
          <w:bCs/>
          <w:sz w:val="24"/>
          <w:szCs w:val="24"/>
        </w:rPr>
        <w:t>falencias</w:t>
      </w:r>
      <w:r w:rsidRPr="006E3BD0">
        <w:rPr>
          <w:rFonts w:ascii="Garamond" w:hAnsi="Garamond"/>
          <w:sz w:val="24"/>
          <w:szCs w:val="24"/>
        </w:rPr>
        <w:t xml:space="preserve"> detectadas (falta de señales de inversión, desbalances de oferta y demanda, distorsión de costos y precios) propiciaron la necesidad de repensar el esquema y </w:t>
      </w:r>
      <w:r w:rsidRPr="006E3BD0">
        <w:rPr>
          <w:rFonts w:ascii="Garamond" w:hAnsi="Garamond"/>
          <w:b/>
          <w:bCs/>
          <w:sz w:val="24"/>
          <w:szCs w:val="24"/>
        </w:rPr>
        <w:t>retomar</w:t>
      </w:r>
      <w:r w:rsidRPr="006E3BD0">
        <w:rPr>
          <w:rFonts w:ascii="Garamond" w:hAnsi="Garamond"/>
          <w:sz w:val="24"/>
          <w:szCs w:val="24"/>
        </w:rPr>
        <w:t xml:space="preserve"> algunos lineamientos originales del MEM, pero </w:t>
      </w:r>
      <w:r w:rsidRPr="006E3BD0">
        <w:rPr>
          <w:rFonts w:ascii="Garamond" w:hAnsi="Garamond"/>
          <w:b/>
          <w:bCs/>
          <w:sz w:val="24"/>
          <w:szCs w:val="24"/>
        </w:rPr>
        <w:t>perfeccionados</w:t>
      </w:r>
      <w:r w:rsidRPr="006E3BD0">
        <w:rPr>
          <w:rFonts w:ascii="Garamond" w:hAnsi="Garamond"/>
          <w:sz w:val="24"/>
          <w:szCs w:val="24"/>
        </w:rPr>
        <w:t>.</w:t>
      </w:r>
    </w:p>
    <w:p w14:paraId="2EFFE084" w14:textId="77777777" w:rsidR="002E3042" w:rsidRPr="006E3BD0" w:rsidRDefault="002E3042" w:rsidP="002E3042">
      <w:pPr>
        <w:jc w:val="both"/>
        <w:rPr>
          <w:rFonts w:ascii="Garamond" w:hAnsi="Garamond"/>
          <w:sz w:val="24"/>
          <w:szCs w:val="24"/>
        </w:rPr>
      </w:pPr>
    </w:p>
    <w:p w14:paraId="2954FDAC" w14:textId="77777777" w:rsidR="002E3042" w:rsidRPr="006E3BD0" w:rsidRDefault="002E3042" w:rsidP="002E3042">
      <w:pPr>
        <w:jc w:val="both"/>
        <w:rPr>
          <w:rFonts w:ascii="Garamond" w:hAnsi="Garamond"/>
          <w:b/>
          <w:bCs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III. Puntos clave de la Resolución en análisis</w:t>
      </w:r>
    </w:p>
    <w:p w14:paraId="227C8DBA" w14:textId="77777777" w:rsidR="006E3BD0" w:rsidRPr="006E3BD0" w:rsidRDefault="006E3BD0" w:rsidP="002E3042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3C948188" w14:textId="77777777" w:rsidR="002E3042" w:rsidRPr="006E3BD0" w:rsidRDefault="002E3042" w:rsidP="002E3042">
      <w:pPr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La Resolución propone </w:t>
      </w:r>
      <w:r w:rsidRPr="006E3BD0">
        <w:rPr>
          <w:rFonts w:ascii="Garamond" w:hAnsi="Garamond"/>
          <w:b/>
          <w:bCs/>
          <w:sz w:val="24"/>
          <w:szCs w:val="24"/>
        </w:rPr>
        <w:t>tres</w:t>
      </w:r>
      <w:r w:rsidRPr="006E3BD0">
        <w:rPr>
          <w:rFonts w:ascii="Garamond" w:hAnsi="Garamond"/>
          <w:sz w:val="24"/>
          <w:szCs w:val="24"/>
        </w:rPr>
        <w:t xml:space="preserve"> medidas centrales para reactivar y flexibilizar el mercado:</w:t>
      </w:r>
    </w:p>
    <w:p w14:paraId="3CFFB1D0" w14:textId="77777777" w:rsidR="006E3BD0" w:rsidRPr="006E3BD0" w:rsidRDefault="006E3BD0" w:rsidP="002E3042">
      <w:pPr>
        <w:jc w:val="both"/>
        <w:rPr>
          <w:rFonts w:ascii="Garamond" w:hAnsi="Garamond"/>
          <w:sz w:val="24"/>
          <w:szCs w:val="24"/>
        </w:rPr>
      </w:pPr>
    </w:p>
    <w:p w14:paraId="283A1447" w14:textId="77777777" w:rsidR="002E3042" w:rsidRPr="006E3BD0" w:rsidRDefault="002E3042" w:rsidP="002E3042">
      <w:pPr>
        <w:numPr>
          <w:ilvl w:val="0"/>
          <w:numId w:val="21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Gestión de combustible por parte de Generadores Térmicos</w:t>
      </w:r>
    </w:p>
    <w:p w14:paraId="5728A169" w14:textId="77777777" w:rsidR="002E3042" w:rsidRPr="006E3BD0" w:rsidRDefault="002E3042" w:rsidP="002E3042">
      <w:pPr>
        <w:numPr>
          <w:ilvl w:val="1"/>
          <w:numId w:val="21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Se </w:t>
      </w:r>
      <w:r w:rsidRPr="006E3BD0">
        <w:rPr>
          <w:rFonts w:ascii="Garamond" w:hAnsi="Garamond"/>
          <w:b/>
          <w:bCs/>
          <w:sz w:val="24"/>
          <w:szCs w:val="24"/>
        </w:rPr>
        <w:t>habilita</w:t>
      </w:r>
      <w:r w:rsidRPr="006E3BD0">
        <w:rPr>
          <w:rFonts w:ascii="Garamond" w:hAnsi="Garamond"/>
          <w:sz w:val="24"/>
          <w:szCs w:val="24"/>
        </w:rPr>
        <w:t xml:space="preserve"> a los generadores a adquirir su propio combustible (principalmente gas).</w:t>
      </w:r>
    </w:p>
    <w:p w14:paraId="4CC52D22" w14:textId="77777777" w:rsidR="002E3042" w:rsidRPr="006E3BD0" w:rsidRDefault="002E3042" w:rsidP="002E3042">
      <w:pPr>
        <w:numPr>
          <w:ilvl w:val="1"/>
          <w:numId w:val="21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CAMMESA asume el rol de </w:t>
      </w:r>
      <w:r w:rsidRPr="006E3BD0">
        <w:rPr>
          <w:rFonts w:ascii="Garamond" w:hAnsi="Garamond"/>
          <w:b/>
          <w:bCs/>
          <w:sz w:val="24"/>
          <w:szCs w:val="24"/>
        </w:rPr>
        <w:t>proveedor de última instancia</w:t>
      </w:r>
      <w:r w:rsidRPr="006E3BD0">
        <w:rPr>
          <w:rFonts w:ascii="Garamond" w:hAnsi="Garamond"/>
          <w:sz w:val="24"/>
          <w:szCs w:val="24"/>
        </w:rPr>
        <w:t>, cubriendo déficits de suministro si el generador no logra abastecerse por sí mismo.</w:t>
      </w:r>
    </w:p>
    <w:p w14:paraId="43615216" w14:textId="77777777" w:rsidR="002E3042" w:rsidRPr="006E3BD0" w:rsidRDefault="002E3042" w:rsidP="002E3042">
      <w:pPr>
        <w:numPr>
          <w:ilvl w:val="1"/>
          <w:numId w:val="21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Se valoriza el combustible propio a precios de referencia en las </w:t>
      </w:r>
      <w:r w:rsidRPr="006E3BD0">
        <w:rPr>
          <w:rFonts w:ascii="Garamond" w:hAnsi="Garamond"/>
          <w:b/>
          <w:bCs/>
          <w:sz w:val="24"/>
          <w:szCs w:val="24"/>
        </w:rPr>
        <w:t>Declaraciones de Costos Variables de Producción</w:t>
      </w:r>
      <w:r w:rsidRPr="006E3BD0">
        <w:rPr>
          <w:rFonts w:ascii="Garamond" w:hAnsi="Garamond"/>
          <w:sz w:val="24"/>
          <w:szCs w:val="24"/>
        </w:rPr>
        <w:t xml:space="preserve">, lo cual fomenta una </w:t>
      </w:r>
      <w:r w:rsidRPr="006E3BD0">
        <w:rPr>
          <w:rFonts w:ascii="Garamond" w:hAnsi="Garamond"/>
          <w:b/>
          <w:bCs/>
          <w:sz w:val="24"/>
          <w:szCs w:val="24"/>
        </w:rPr>
        <w:t>gestión más eficiente</w:t>
      </w:r>
      <w:r w:rsidRPr="006E3BD0">
        <w:rPr>
          <w:rFonts w:ascii="Garamond" w:hAnsi="Garamond"/>
          <w:sz w:val="24"/>
          <w:szCs w:val="24"/>
        </w:rPr>
        <w:t xml:space="preserve"> y cercana al costo real del combustible.</w:t>
      </w:r>
    </w:p>
    <w:p w14:paraId="0796DC94" w14:textId="77777777" w:rsidR="002E3042" w:rsidRPr="006E3BD0" w:rsidRDefault="002E3042" w:rsidP="002E3042">
      <w:pPr>
        <w:numPr>
          <w:ilvl w:val="0"/>
          <w:numId w:val="21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Reintroducción del costo de la Energía No Suministrada (ENS)</w:t>
      </w:r>
    </w:p>
    <w:p w14:paraId="4198D14A" w14:textId="77777777" w:rsidR="002E3042" w:rsidRPr="006E3BD0" w:rsidRDefault="002E3042" w:rsidP="002E3042">
      <w:pPr>
        <w:numPr>
          <w:ilvl w:val="1"/>
          <w:numId w:val="21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A partir del 1º de febrero, se fija el costo de la ENS programada en </w:t>
      </w:r>
      <w:r w:rsidRPr="006E3BD0">
        <w:rPr>
          <w:rFonts w:ascii="Garamond" w:hAnsi="Garamond"/>
          <w:b/>
          <w:bCs/>
          <w:sz w:val="24"/>
          <w:szCs w:val="24"/>
        </w:rPr>
        <w:t>1500 USD/</w:t>
      </w:r>
      <w:proofErr w:type="spellStart"/>
      <w:r w:rsidRPr="006E3BD0">
        <w:rPr>
          <w:rFonts w:ascii="Garamond" w:hAnsi="Garamond"/>
          <w:b/>
          <w:bCs/>
          <w:sz w:val="24"/>
          <w:szCs w:val="24"/>
        </w:rPr>
        <w:t>MWh</w:t>
      </w:r>
      <w:proofErr w:type="spellEnd"/>
      <w:r w:rsidRPr="006E3BD0">
        <w:rPr>
          <w:rFonts w:ascii="Garamond" w:hAnsi="Garamond"/>
          <w:sz w:val="24"/>
          <w:szCs w:val="24"/>
        </w:rPr>
        <w:t xml:space="preserve"> (último escalón de falla).</w:t>
      </w:r>
    </w:p>
    <w:p w14:paraId="1EA1CE37" w14:textId="77777777" w:rsidR="002E3042" w:rsidRPr="006E3BD0" w:rsidRDefault="002E3042" w:rsidP="002E3042">
      <w:pPr>
        <w:numPr>
          <w:ilvl w:val="1"/>
          <w:numId w:val="21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Este componente, de carácter </w:t>
      </w:r>
      <w:r w:rsidRPr="006E3BD0">
        <w:rPr>
          <w:rFonts w:ascii="Garamond" w:hAnsi="Garamond"/>
          <w:b/>
          <w:bCs/>
          <w:sz w:val="24"/>
          <w:szCs w:val="24"/>
        </w:rPr>
        <w:t>esencial</w:t>
      </w:r>
      <w:r w:rsidRPr="006E3BD0">
        <w:rPr>
          <w:rFonts w:ascii="Garamond" w:hAnsi="Garamond"/>
          <w:sz w:val="24"/>
          <w:szCs w:val="24"/>
        </w:rPr>
        <w:t xml:space="preserve"> para la señal de inversión de largo plazo, había sido eliminado en la práctica.</w:t>
      </w:r>
    </w:p>
    <w:p w14:paraId="4070CEA6" w14:textId="77777777" w:rsidR="002E3042" w:rsidRPr="006E3BD0" w:rsidRDefault="002E3042" w:rsidP="002E3042">
      <w:pPr>
        <w:numPr>
          <w:ilvl w:val="1"/>
          <w:numId w:val="21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La Resolución indica que se trata de un </w:t>
      </w:r>
      <w:r w:rsidRPr="006E3BD0">
        <w:rPr>
          <w:rFonts w:ascii="Garamond" w:hAnsi="Garamond"/>
          <w:b/>
          <w:bCs/>
          <w:sz w:val="24"/>
          <w:szCs w:val="24"/>
        </w:rPr>
        <w:t>valor transitorio</w:t>
      </w:r>
      <w:r w:rsidRPr="006E3BD0">
        <w:rPr>
          <w:rFonts w:ascii="Garamond" w:hAnsi="Garamond"/>
          <w:sz w:val="24"/>
          <w:szCs w:val="24"/>
        </w:rPr>
        <w:t xml:space="preserve">, a la espera de una evaluación socioeconómica que permita </w:t>
      </w:r>
      <w:r w:rsidRPr="006E3BD0">
        <w:rPr>
          <w:rFonts w:ascii="Garamond" w:hAnsi="Garamond"/>
          <w:b/>
          <w:bCs/>
          <w:sz w:val="24"/>
          <w:szCs w:val="24"/>
        </w:rPr>
        <w:t>valorizar</w:t>
      </w:r>
      <w:r w:rsidRPr="006E3BD0">
        <w:rPr>
          <w:rFonts w:ascii="Garamond" w:hAnsi="Garamond"/>
          <w:sz w:val="24"/>
          <w:szCs w:val="24"/>
        </w:rPr>
        <w:t xml:space="preserve"> de manera más certera el costo del corte de energía para distintos tipos de usuarios.</w:t>
      </w:r>
    </w:p>
    <w:p w14:paraId="42B498C3" w14:textId="77777777" w:rsidR="002E3042" w:rsidRPr="006E3BD0" w:rsidRDefault="002E3042" w:rsidP="002E3042">
      <w:pPr>
        <w:numPr>
          <w:ilvl w:val="0"/>
          <w:numId w:val="21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Permiso para celebrar contratos de abastecimiento en el Mercado a Término</w:t>
      </w:r>
    </w:p>
    <w:p w14:paraId="25553E3E" w14:textId="77777777" w:rsidR="002E3042" w:rsidRPr="006E3BD0" w:rsidRDefault="002E3042" w:rsidP="002E3042">
      <w:pPr>
        <w:numPr>
          <w:ilvl w:val="1"/>
          <w:numId w:val="21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>A partir del 01/01/2025, se implementa una excepción sobre los proyectos de generación eléctrica convencional (térmica, hidroeléctrica y nuclear), en relación a las restricciones establecidas por la </w:t>
      </w:r>
      <w:hyperlink r:id="rId7" w:tgtFrame="_blank" w:history="1">
        <w:r w:rsidRPr="006E3BD0">
          <w:rPr>
            <w:rStyle w:val="Hipervnculo"/>
            <w:rFonts w:ascii="Garamond" w:hAnsi="Garamond"/>
            <w:sz w:val="24"/>
            <w:szCs w:val="24"/>
          </w:rPr>
          <w:t xml:space="preserve">Resolución </w:t>
        </w:r>
        <w:proofErr w:type="spellStart"/>
        <w:r w:rsidRPr="006E3BD0">
          <w:rPr>
            <w:rStyle w:val="Hipervnculo"/>
            <w:rFonts w:ascii="Garamond" w:hAnsi="Garamond"/>
            <w:sz w:val="24"/>
            <w:szCs w:val="24"/>
          </w:rPr>
          <w:t>N°</w:t>
        </w:r>
        <w:proofErr w:type="spellEnd"/>
        <w:r w:rsidRPr="006E3BD0">
          <w:rPr>
            <w:rStyle w:val="Hipervnculo"/>
            <w:rFonts w:ascii="Garamond" w:hAnsi="Garamond"/>
            <w:sz w:val="24"/>
            <w:szCs w:val="24"/>
          </w:rPr>
          <w:t xml:space="preserve"> 95/2013</w:t>
        </w:r>
      </w:hyperlink>
      <w:r w:rsidRPr="006E3BD0">
        <w:rPr>
          <w:rFonts w:ascii="Garamond" w:hAnsi="Garamond"/>
          <w:sz w:val="24"/>
          <w:szCs w:val="24"/>
        </w:rPr>
        <w:t>, autorizando a conformación de contratos de abastecimiento del Mercado a Término con los Agentes Demandantes, Distribuidores o Grandes Usuarios del MEM para ser administrados bajo los Procedimientos para la programación de la operación, el despacho de cargas y el cálculo de precios de CAMMESA (“Compañía Administradora del Mercado Mayorista Eléctrico S.A.”).</w:t>
      </w:r>
    </w:p>
    <w:p w14:paraId="52419C5A" w14:textId="77777777" w:rsidR="002E3042" w:rsidRPr="006E3BD0" w:rsidRDefault="002E3042" w:rsidP="002E3042">
      <w:pPr>
        <w:numPr>
          <w:ilvl w:val="1"/>
          <w:numId w:val="21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lastRenderedPageBreak/>
        <w:t xml:space="preserve">Aplica a proyectos de </w:t>
      </w:r>
      <w:r w:rsidRPr="006E3BD0">
        <w:rPr>
          <w:rFonts w:ascii="Garamond" w:hAnsi="Garamond"/>
          <w:b/>
          <w:bCs/>
          <w:sz w:val="24"/>
          <w:szCs w:val="24"/>
        </w:rPr>
        <w:t>generación, autogeneración o cogeneración</w:t>
      </w:r>
      <w:r w:rsidRPr="006E3BD0">
        <w:rPr>
          <w:rFonts w:ascii="Garamond" w:hAnsi="Garamond"/>
          <w:sz w:val="24"/>
          <w:szCs w:val="24"/>
        </w:rPr>
        <w:t xml:space="preserve"> de fuentes convencionales (térmica, hidroeléctrica, nuclear) </w:t>
      </w:r>
      <w:r w:rsidRPr="006E3BD0">
        <w:rPr>
          <w:rFonts w:ascii="Garamond" w:hAnsi="Garamond"/>
          <w:b/>
          <w:bCs/>
          <w:sz w:val="24"/>
          <w:szCs w:val="24"/>
        </w:rPr>
        <w:t>habilitados comercialmente</w:t>
      </w:r>
      <w:r w:rsidRPr="006E3BD0">
        <w:rPr>
          <w:rFonts w:ascii="Garamond" w:hAnsi="Garamond"/>
          <w:sz w:val="24"/>
          <w:szCs w:val="24"/>
        </w:rPr>
        <w:t xml:space="preserve"> a partir del 1º de enero de 2025.</w:t>
      </w:r>
    </w:p>
    <w:p w14:paraId="3A17FBA4" w14:textId="77777777" w:rsidR="002E3042" w:rsidRPr="006E3BD0" w:rsidRDefault="002E3042" w:rsidP="002E3042">
      <w:pPr>
        <w:numPr>
          <w:ilvl w:val="1"/>
          <w:numId w:val="21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Estos nuevos emprendimientos podrán celebrar contratos con </w:t>
      </w:r>
      <w:r w:rsidRPr="006E3BD0">
        <w:rPr>
          <w:rFonts w:ascii="Garamond" w:hAnsi="Garamond"/>
          <w:b/>
          <w:bCs/>
          <w:sz w:val="24"/>
          <w:szCs w:val="24"/>
        </w:rPr>
        <w:t>Distribuidores y Grandes Usuarios</w:t>
      </w:r>
      <w:r w:rsidRPr="006E3BD0">
        <w:rPr>
          <w:rFonts w:ascii="Garamond" w:hAnsi="Garamond"/>
          <w:sz w:val="24"/>
          <w:szCs w:val="24"/>
        </w:rPr>
        <w:t xml:space="preserve"> del MEM, en línea con lo establecido en los Procedimientos.</w:t>
      </w:r>
    </w:p>
    <w:p w14:paraId="451D9F57" w14:textId="77777777" w:rsidR="002E3042" w:rsidRPr="006E3BD0" w:rsidRDefault="002E3042" w:rsidP="002E3042">
      <w:pPr>
        <w:numPr>
          <w:ilvl w:val="1"/>
          <w:numId w:val="21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Se crea así una </w:t>
      </w:r>
      <w:r w:rsidRPr="006E3BD0">
        <w:rPr>
          <w:rFonts w:ascii="Garamond" w:hAnsi="Garamond"/>
          <w:b/>
          <w:bCs/>
          <w:sz w:val="24"/>
          <w:szCs w:val="24"/>
        </w:rPr>
        <w:t>nueva ventana</w:t>
      </w:r>
      <w:r w:rsidRPr="006E3BD0">
        <w:rPr>
          <w:rFonts w:ascii="Garamond" w:hAnsi="Garamond"/>
          <w:sz w:val="24"/>
          <w:szCs w:val="24"/>
        </w:rPr>
        <w:t xml:space="preserve"> de oportunidades para la firma de contratos de largo plazo, que permitirán </w:t>
      </w:r>
      <w:r w:rsidRPr="006E3BD0">
        <w:rPr>
          <w:rFonts w:ascii="Garamond" w:hAnsi="Garamond"/>
          <w:b/>
          <w:bCs/>
          <w:sz w:val="24"/>
          <w:szCs w:val="24"/>
        </w:rPr>
        <w:t>transparencia de costos</w:t>
      </w:r>
      <w:r w:rsidRPr="006E3BD0">
        <w:rPr>
          <w:rFonts w:ascii="Garamond" w:hAnsi="Garamond"/>
          <w:sz w:val="24"/>
          <w:szCs w:val="24"/>
        </w:rPr>
        <w:t xml:space="preserve"> y previsión para las inversiones.</w:t>
      </w:r>
    </w:p>
    <w:p w14:paraId="1C76A180" w14:textId="77777777" w:rsidR="002E3042" w:rsidRPr="006E3BD0" w:rsidRDefault="002E3042" w:rsidP="002E3042">
      <w:pPr>
        <w:jc w:val="both"/>
        <w:rPr>
          <w:rFonts w:ascii="Garamond" w:hAnsi="Garamond"/>
          <w:sz w:val="24"/>
          <w:szCs w:val="24"/>
        </w:rPr>
      </w:pPr>
    </w:p>
    <w:p w14:paraId="0E1E7DA0" w14:textId="77777777" w:rsidR="002E3042" w:rsidRPr="006E3BD0" w:rsidRDefault="002E3042" w:rsidP="002E3042">
      <w:pPr>
        <w:jc w:val="both"/>
        <w:rPr>
          <w:rFonts w:ascii="Garamond" w:hAnsi="Garamond"/>
          <w:b/>
          <w:bCs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IV. Implicancias y aspectos relevantes</w:t>
      </w:r>
    </w:p>
    <w:p w14:paraId="39DD06E5" w14:textId="77777777" w:rsidR="006E3BD0" w:rsidRPr="006E3BD0" w:rsidRDefault="006E3BD0" w:rsidP="002E3042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42C61999" w14:textId="77777777" w:rsidR="002E3042" w:rsidRPr="006E3BD0" w:rsidRDefault="002E3042" w:rsidP="002E3042">
      <w:pPr>
        <w:numPr>
          <w:ilvl w:val="0"/>
          <w:numId w:val="2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Retorno a señales de mercado</w:t>
      </w:r>
    </w:p>
    <w:p w14:paraId="44D0DE72" w14:textId="77777777" w:rsidR="002E3042" w:rsidRPr="006E3BD0" w:rsidRDefault="002E3042" w:rsidP="002E3042">
      <w:pPr>
        <w:numPr>
          <w:ilvl w:val="1"/>
          <w:numId w:val="2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La posibilidad de que cada generador adquiera su combustible restablece la visión de costos reales y refuerza la </w:t>
      </w:r>
      <w:r w:rsidRPr="006E3BD0">
        <w:rPr>
          <w:rFonts w:ascii="Garamond" w:hAnsi="Garamond"/>
          <w:b/>
          <w:bCs/>
          <w:sz w:val="24"/>
          <w:szCs w:val="24"/>
        </w:rPr>
        <w:t>competencia</w:t>
      </w:r>
      <w:r w:rsidRPr="006E3BD0">
        <w:rPr>
          <w:rFonts w:ascii="Garamond" w:hAnsi="Garamond"/>
          <w:sz w:val="24"/>
          <w:szCs w:val="24"/>
        </w:rPr>
        <w:t>.</w:t>
      </w:r>
    </w:p>
    <w:p w14:paraId="1BF2896B" w14:textId="77777777" w:rsidR="002E3042" w:rsidRPr="006E3BD0" w:rsidRDefault="002E3042" w:rsidP="002E3042">
      <w:pPr>
        <w:numPr>
          <w:ilvl w:val="1"/>
          <w:numId w:val="2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El componente ENS incentiva la </w:t>
      </w:r>
      <w:r w:rsidRPr="006E3BD0">
        <w:rPr>
          <w:rFonts w:ascii="Garamond" w:hAnsi="Garamond"/>
          <w:b/>
          <w:bCs/>
          <w:sz w:val="24"/>
          <w:szCs w:val="24"/>
        </w:rPr>
        <w:t>inversión en capacidad</w:t>
      </w:r>
      <w:r w:rsidRPr="006E3BD0">
        <w:rPr>
          <w:rFonts w:ascii="Garamond" w:hAnsi="Garamond"/>
          <w:sz w:val="24"/>
          <w:szCs w:val="24"/>
        </w:rPr>
        <w:t xml:space="preserve"> al reflejar los costos de los eventuales cortes de suministro.</w:t>
      </w:r>
    </w:p>
    <w:p w14:paraId="428E84B8" w14:textId="77777777" w:rsidR="002E3042" w:rsidRPr="006E3BD0" w:rsidRDefault="002E3042" w:rsidP="002E3042">
      <w:pPr>
        <w:numPr>
          <w:ilvl w:val="0"/>
          <w:numId w:val="2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Desafíos regulatorios pendientes</w:t>
      </w:r>
    </w:p>
    <w:p w14:paraId="70865F2E" w14:textId="77777777" w:rsidR="002E3042" w:rsidRPr="006E3BD0" w:rsidRDefault="002E3042" w:rsidP="002E3042">
      <w:pPr>
        <w:numPr>
          <w:ilvl w:val="1"/>
          <w:numId w:val="2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La Resolución exige un </w:t>
      </w:r>
      <w:r w:rsidRPr="006E3BD0">
        <w:rPr>
          <w:rFonts w:ascii="Garamond" w:hAnsi="Garamond"/>
          <w:b/>
          <w:bCs/>
          <w:sz w:val="24"/>
          <w:szCs w:val="24"/>
        </w:rPr>
        <w:t>trabajo adicional</w:t>
      </w:r>
      <w:r w:rsidRPr="006E3BD0">
        <w:rPr>
          <w:rFonts w:ascii="Garamond" w:hAnsi="Garamond"/>
          <w:sz w:val="24"/>
          <w:szCs w:val="24"/>
        </w:rPr>
        <w:t xml:space="preserve"> de la Secretaría de Energía para precisar aspectos como:</w:t>
      </w:r>
    </w:p>
    <w:p w14:paraId="6DFE6DD5" w14:textId="77777777" w:rsidR="002E3042" w:rsidRPr="006E3BD0" w:rsidRDefault="002E3042" w:rsidP="002E3042">
      <w:pPr>
        <w:numPr>
          <w:ilvl w:val="2"/>
          <w:numId w:val="2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>Mecanismos de supervisión del despacho y facturación en un esquema con múltiples proveedores de combustible.</w:t>
      </w:r>
    </w:p>
    <w:p w14:paraId="54C8639D" w14:textId="77777777" w:rsidR="002E3042" w:rsidRPr="006E3BD0" w:rsidRDefault="002E3042" w:rsidP="002E3042">
      <w:pPr>
        <w:numPr>
          <w:ilvl w:val="2"/>
          <w:numId w:val="2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Métodos para la </w:t>
      </w:r>
      <w:r w:rsidRPr="006E3BD0">
        <w:rPr>
          <w:rFonts w:ascii="Garamond" w:hAnsi="Garamond"/>
          <w:b/>
          <w:bCs/>
          <w:sz w:val="24"/>
          <w:szCs w:val="24"/>
        </w:rPr>
        <w:t>determinación definitiva</w:t>
      </w:r>
      <w:r w:rsidRPr="006E3BD0">
        <w:rPr>
          <w:rFonts w:ascii="Garamond" w:hAnsi="Garamond"/>
          <w:sz w:val="24"/>
          <w:szCs w:val="24"/>
        </w:rPr>
        <w:t xml:space="preserve"> del costo de la ENS en diversos escalones de falla.</w:t>
      </w:r>
    </w:p>
    <w:p w14:paraId="26A252C8" w14:textId="77777777" w:rsidR="002E3042" w:rsidRPr="006E3BD0" w:rsidRDefault="002E3042" w:rsidP="002E3042">
      <w:pPr>
        <w:numPr>
          <w:ilvl w:val="2"/>
          <w:numId w:val="2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Normas específicas sobre los </w:t>
      </w:r>
      <w:r w:rsidRPr="006E3BD0">
        <w:rPr>
          <w:rFonts w:ascii="Garamond" w:hAnsi="Garamond"/>
          <w:b/>
          <w:bCs/>
          <w:sz w:val="24"/>
          <w:szCs w:val="24"/>
        </w:rPr>
        <w:t>contratos a término</w:t>
      </w:r>
      <w:r w:rsidRPr="006E3BD0">
        <w:rPr>
          <w:rFonts w:ascii="Garamond" w:hAnsi="Garamond"/>
          <w:sz w:val="24"/>
          <w:szCs w:val="24"/>
        </w:rPr>
        <w:t>, incluyendo plazos, curvas de carga y formas de transacción de saldos.</w:t>
      </w:r>
    </w:p>
    <w:p w14:paraId="3C4E86D7" w14:textId="77777777" w:rsidR="002E3042" w:rsidRPr="006E3BD0" w:rsidRDefault="002E3042" w:rsidP="002E3042">
      <w:pPr>
        <w:numPr>
          <w:ilvl w:val="0"/>
          <w:numId w:val="2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Efecto en las tarifas y subsidios</w:t>
      </w:r>
    </w:p>
    <w:p w14:paraId="2B97CB2F" w14:textId="77777777" w:rsidR="002E3042" w:rsidRPr="006E3BD0" w:rsidRDefault="002E3042" w:rsidP="002E3042">
      <w:pPr>
        <w:numPr>
          <w:ilvl w:val="1"/>
          <w:numId w:val="2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El reingreso de mecanismos basados en </w:t>
      </w:r>
      <w:r w:rsidRPr="006E3BD0">
        <w:rPr>
          <w:rFonts w:ascii="Garamond" w:hAnsi="Garamond"/>
          <w:b/>
          <w:bCs/>
          <w:sz w:val="24"/>
          <w:szCs w:val="24"/>
        </w:rPr>
        <w:t>costo marginal</w:t>
      </w:r>
      <w:r w:rsidRPr="006E3BD0">
        <w:rPr>
          <w:rFonts w:ascii="Garamond" w:hAnsi="Garamond"/>
          <w:sz w:val="24"/>
          <w:szCs w:val="24"/>
        </w:rPr>
        <w:t xml:space="preserve"> y ENS podría </w:t>
      </w:r>
      <w:r w:rsidRPr="006E3BD0">
        <w:rPr>
          <w:rFonts w:ascii="Garamond" w:hAnsi="Garamond"/>
          <w:b/>
          <w:bCs/>
          <w:sz w:val="24"/>
          <w:szCs w:val="24"/>
        </w:rPr>
        <w:t>incrementar</w:t>
      </w:r>
      <w:r w:rsidRPr="006E3BD0">
        <w:rPr>
          <w:rFonts w:ascii="Garamond" w:hAnsi="Garamond"/>
          <w:sz w:val="24"/>
          <w:szCs w:val="24"/>
        </w:rPr>
        <w:t xml:space="preserve"> el costo final en tarifas, requiriendo la adopción de </w:t>
      </w:r>
      <w:r w:rsidRPr="006E3BD0">
        <w:rPr>
          <w:rFonts w:ascii="Garamond" w:hAnsi="Garamond"/>
          <w:b/>
          <w:bCs/>
          <w:sz w:val="24"/>
          <w:szCs w:val="24"/>
        </w:rPr>
        <w:t>subsidios focalizados</w:t>
      </w:r>
      <w:r w:rsidRPr="006E3BD0">
        <w:rPr>
          <w:rFonts w:ascii="Garamond" w:hAnsi="Garamond"/>
          <w:sz w:val="24"/>
          <w:szCs w:val="24"/>
        </w:rPr>
        <w:t xml:space="preserve"> para proteger a los sectores más vulnerables y evitando los </w:t>
      </w:r>
      <w:r w:rsidRPr="006E3BD0">
        <w:rPr>
          <w:rFonts w:ascii="Garamond" w:hAnsi="Garamond"/>
          <w:b/>
          <w:bCs/>
          <w:sz w:val="24"/>
          <w:szCs w:val="24"/>
        </w:rPr>
        <w:t>subsidios generalizados</w:t>
      </w:r>
      <w:r w:rsidRPr="006E3BD0">
        <w:rPr>
          <w:rFonts w:ascii="Garamond" w:hAnsi="Garamond"/>
          <w:sz w:val="24"/>
          <w:szCs w:val="24"/>
        </w:rPr>
        <w:t xml:space="preserve"> que distorsionan el mercado.</w:t>
      </w:r>
    </w:p>
    <w:p w14:paraId="795AA52F" w14:textId="77777777" w:rsidR="002E3042" w:rsidRPr="006E3BD0" w:rsidRDefault="002E3042" w:rsidP="002E3042">
      <w:pPr>
        <w:numPr>
          <w:ilvl w:val="0"/>
          <w:numId w:val="2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Oportunidad de modernización</w:t>
      </w:r>
    </w:p>
    <w:p w14:paraId="257FF77C" w14:textId="77777777" w:rsidR="002E3042" w:rsidRPr="006E3BD0" w:rsidRDefault="002E3042" w:rsidP="002E3042">
      <w:pPr>
        <w:numPr>
          <w:ilvl w:val="1"/>
          <w:numId w:val="2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La Resolución reconoce que volver a un esquema </w:t>
      </w:r>
      <w:r w:rsidRPr="006E3BD0">
        <w:rPr>
          <w:rFonts w:ascii="Garamond" w:hAnsi="Garamond"/>
          <w:b/>
          <w:bCs/>
          <w:sz w:val="24"/>
          <w:szCs w:val="24"/>
        </w:rPr>
        <w:t>idéntico</w:t>
      </w:r>
      <w:r w:rsidRPr="006E3BD0">
        <w:rPr>
          <w:rFonts w:ascii="Garamond" w:hAnsi="Garamond"/>
          <w:sz w:val="24"/>
          <w:szCs w:val="24"/>
        </w:rPr>
        <w:t xml:space="preserve"> al de la década de los 90 sería </w:t>
      </w:r>
      <w:r w:rsidRPr="006E3BD0">
        <w:rPr>
          <w:rFonts w:ascii="Garamond" w:hAnsi="Garamond"/>
          <w:b/>
          <w:bCs/>
          <w:sz w:val="24"/>
          <w:szCs w:val="24"/>
        </w:rPr>
        <w:t>contraproducente</w:t>
      </w:r>
      <w:r w:rsidRPr="006E3BD0">
        <w:rPr>
          <w:rFonts w:ascii="Garamond" w:hAnsi="Garamond"/>
          <w:sz w:val="24"/>
          <w:szCs w:val="24"/>
        </w:rPr>
        <w:t xml:space="preserve">; se promueve un </w:t>
      </w:r>
      <w:r w:rsidRPr="006E3BD0">
        <w:rPr>
          <w:rFonts w:ascii="Garamond" w:hAnsi="Garamond"/>
          <w:b/>
          <w:bCs/>
          <w:sz w:val="24"/>
          <w:szCs w:val="24"/>
        </w:rPr>
        <w:t>marco superador</w:t>
      </w:r>
      <w:r w:rsidRPr="006E3BD0">
        <w:rPr>
          <w:rFonts w:ascii="Garamond" w:hAnsi="Garamond"/>
          <w:sz w:val="24"/>
          <w:szCs w:val="24"/>
        </w:rPr>
        <w:t xml:space="preserve">, aprendiendo de los errores pasados y adaptándolo a la </w:t>
      </w:r>
      <w:r w:rsidRPr="006E3BD0">
        <w:rPr>
          <w:rFonts w:ascii="Garamond" w:hAnsi="Garamond"/>
          <w:b/>
          <w:bCs/>
          <w:sz w:val="24"/>
          <w:szCs w:val="24"/>
        </w:rPr>
        <w:t>realidad energética</w:t>
      </w:r>
      <w:r w:rsidRPr="006E3BD0">
        <w:rPr>
          <w:rFonts w:ascii="Garamond" w:hAnsi="Garamond"/>
          <w:sz w:val="24"/>
          <w:szCs w:val="24"/>
        </w:rPr>
        <w:t xml:space="preserve"> actual.</w:t>
      </w:r>
    </w:p>
    <w:p w14:paraId="394609D1" w14:textId="77777777" w:rsidR="002E3042" w:rsidRPr="006E3BD0" w:rsidRDefault="002E3042" w:rsidP="002E3042">
      <w:pPr>
        <w:jc w:val="both"/>
        <w:rPr>
          <w:rFonts w:ascii="Garamond" w:hAnsi="Garamond"/>
          <w:sz w:val="24"/>
          <w:szCs w:val="24"/>
        </w:rPr>
      </w:pPr>
    </w:p>
    <w:p w14:paraId="4EF3727D" w14:textId="77777777" w:rsidR="002E3042" w:rsidRPr="006E3BD0" w:rsidRDefault="002E3042" w:rsidP="002E3042">
      <w:pPr>
        <w:jc w:val="both"/>
        <w:rPr>
          <w:rFonts w:ascii="Garamond" w:hAnsi="Garamond"/>
          <w:b/>
          <w:bCs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V. Conclusiones y recomendaciones</w:t>
      </w:r>
    </w:p>
    <w:p w14:paraId="1205F405" w14:textId="77777777" w:rsidR="006E3BD0" w:rsidRPr="006E3BD0" w:rsidRDefault="006E3BD0" w:rsidP="002E3042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6C7BFDE6" w14:textId="77777777" w:rsidR="002E3042" w:rsidRPr="006E3BD0" w:rsidRDefault="002E3042" w:rsidP="002E3042">
      <w:pPr>
        <w:numPr>
          <w:ilvl w:val="0"/>
          <w:numId w:val="23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lastRenderedPageBreak/>
        <w:t>Conclusiones principales</w:t>
      </w:r>
    </w:p>
    <w:p w14:paraId="6BC84E3F" w14:textId="77777777" w:rsidR="002E3042" w:rsidRPr="006E3BD0" w:rsidRDefault="002E3042" w:rsidP="002E3042">
      <w:pPr>
        <w:numPr>
          <w:ilvl w:val="1"/>
          <w:numId w:val="23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La Resolución </w:t>
      </w:r>
      <w:r w:rsidRPr="006E3BD0">
        <w:rPr>
          <w:rFonts w:ascii="Garamond" w:hAnsi="Garamond"/>
          <w:b/>
          <w:bCs/>
          <w:sz w:val="24"/>
          <w:szCs w:val="24"/>
        </w:rPr>
        <w:t>flexibiliza</w:t>
      </w:r>
      <w:r w:rsidRPr="006E3BD0">
        <w:rPr>
          <w:rFonts w:ascii="Garamond" w:hAnsi="Garamond"/>
          <w:sz w:val="24"/>
          <w:szCs w:val="24"/>
        </w:rPr>
        <w:t xml:space="preserve"> aspectos críticos del MEM, permitiendo que generadores térmicos gestionen su propio combustible y </w:t>
      </w:r>
      <w:r w:rsidRPr="006E3BD0">
        <w:rPr>
          <w:rFonts w:ascii="Garamond" w:hAnsi="Garamond"/>
          <w:b/>
          <w:bCs/>
          <w:sz w:val="24"/>
          <w:szCs w:val="24"/>
        </w:rPr>
        <w:t>retomando</w:t>
      </w:r>
      <w:r w:rsidRPr="006E3BD0">
        <w:rPr>
          <w:rFonts w:ascii="Garamond" w:hAnsi="Garamond"/>
          <w:sz w:val="24"/>
          <w:szCs w:val="24"/>
        </w:rPr>
        <w:t xml:space="preserve"> el costo de la ENS.</w:t>
      </w:r>
    </w:p>
    <w:p w14:paraId="7E6EC417" w14:textId="77777777" w:rsidR="002E3042" w:rsidRPr="006E3BD0" w:rsidRDefault="002E3042" w:rsidP="002E3042">
      <w:pPr>
        <w:numPr>
          <w:ilvl w:val="1"/>
          <w:numId w:val="23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Se </w:t>
      </w:r>
      <w:r w:rsidRPr="006E3BD0">
        <w:rPr>
          <w:rFonts w:ascii="Garamond" w:hAnsi="Garamond"/>
          <w:b/>
          <w:bCs/>
          <w:sz w:val="24"/>
          <w:szCs w:val="24"/>
        </w:rPr>
        <w:t>reactiva</w:t>
      </w:r>
      <w:r w:rsidRPr="006E3BD0">
        <w:rPr>
          <w:rFonts w:ascii="Garamond" w:hAnsi="Garamond"/>
          <w:sz w:val="24"/>
          <w:szCs w:val="24"/>
        </w:rPr>
        <w:t xml:space="preserve"> la posibilidad de suscribir contratos a término para nuevos proyectos, otorgando </w:t>
      </w:r>
      <w:r w:rsidRPr="006E3BD0">
        <w:rPr>
          <w:rFonts w:ascii="Garamond" w:hAnsi="Garamond"/>
          <w:b/>
          <w:bCs/>
          <w:sz w:val="24"/>
          <w:szCs w:val="24"/>
        </w:rPr>
        <w:t>certidumbre</w:t>
      </w:r>
      <w:r w:rsidRPr="006E3BD0">
        <w:rPr>
          <w:rFonts w:ascii="Garamond" w:hAnsi="Garamond"/>
          <w:sz w:val="24"/>
          <w:szCs w:val="24"/>
        </w:rPr>
        <w:t xml:space="preserve"> al sector privado para inversiones de mediano y largo plazo.</w:t>
      </w:r>
    </w:p>
    <w:p w14:paraId="7A659446" w14:textId="77777777" w:rsidR="002E3042" w:rsidRPr="006E3BD0" w:rsidRDefault="002E3042" w:rsidP="002E3042">
      <w:pPr>
        <w:numPr>
          <w:ilvl w:val="1"/>
          <w:numId w:val="23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Su </w:t>
      </w:r>
      <w:r w:rsidRPr="006E3BD0">
        <w:rPr>
          <w:rFonts w:ascii="Garamond" w:hAnsi="Garamond"/>
          <w:b/>
          <w:bCs/>
          <w:sz w:val="24"/>
          <w:szCs w:val="24"/>
        </w:rPr>
        <w:t>implementación</w:t>
      </w:r>
      <w:r w:rsidRPr="006E3BD0">
        <w:rPr>
          <w:rFonts w:ascii="Garamond" w:hAnsi="Garamond"/>
          <w:sz w:val="24"/>
          <w:szCs w:val="24"/>
        </w:rPr>
        <w:t xml:space="preserve"> requerirá la emisión de normativa complementaria y un </w:t>
      </w:r>
      <w:r w:rsidRPr="006E3BD0">
        <w:rPr>
          <w:rFonts w:ascii="Garamond" w:hAnsi="Garamond"/>
          <w:b/>
          <w:bCs/>
          <w:sz w:val="24"/>
          <w:szCs w:val="24"/>
        </w:rPr>
        <w:t>seguimiento cercano</w:t>
      </w:r>
      <w:r w:rsidRPr="006E3BD0">
        <w:rPr>
          <w:rFonts w:ascii="Garamond" w:hAnsi="Garamond"/>
          <w:sz w:val="24"/>
          <w:szCs w:val="24"/>
        </w:rPr>
        <w:t xml:space="preserve"> del comportamiento del mercado para ajustar parámetros.</w:t>
      </w:r>
    </w:p>
    <w:p w14:paraId="25F62D41" w14:textId="77777777" w:rsidR="002E3042" w:rsidRPr="006E3BD0" w:rsidRDefault="002E3042" w:rsidP="002E3042">
      <w:pPr>
        <w:numPr>
          <w:ilvl w:val="0"/>
          <w:numId w:val="23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Recomendaciones para los actores del sector</w:t>
      </w:r>
    </w:p>
    <w:p w14:paraId="7032D8C6" w14:textId="77777777" w:rsidR="002E3042" w:rsidRPr="006E3BD0" w:rsidRDefault="002E3042" w:rsidP="002E3042">
      <w:pPr>
        <w:numPr>
          <w:ilvl w:val="1"/>
          <w:numId w:val="23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Analizar</w:t>
      </w:r>
      <w:r w:rsidRPr="006E3BD0">
        <w:rPr>
          <w:rFonts w:ascii="Garamond" w:hAnsi="Garamond"/>
          <w:sz w:val="24"/>
          <w:szCs w:val="24"/>
        </w:rPr>
        <w:t xml:space="preserve"> los impactos económicos y técnicos de la autogestión de combustible, especialmente en la contratación de gas natural.</w:t>
      </w:r>
    </w:p>
    <w:p w14:paraId="69B30CAD" w14:textId="77777777" w:rsidR="002E3042" w:rsidRPr="006E3BD0" w:rsidRDefault="002E3042" w:rsidP="002E3042">
      <w:pPr>
        <w:numPr>
          <w:ilvl w:val="1"/>
          <w:numId w:val="23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Preparar</w:t>
      </w:r>
      <w:r w:rsidRPr="006E3BD0">
        <w:rPr>
          <w:rFonts w:ascii="Garamond" w:hAnsi="Garamond"/>
          <w:sz w:val="24"/>
          <w:szCs w:val="24"/>
        </w:rPr>
        <w:t xml:space="preserve"> acuerdos o mecanismos de cobertura y negociación, considerando la posibilidad de abastecimiento a largo plazo (contratos de compraventa de energía) y la potencial variabilidad del costo de ENS.</w:t>
      </w:r>
    </w:p>
    <w:p w14:paraId="14FA46A8" w14:textId="77777777" w:rsidR="002E3042" w:rsidRPr="006E3BD0" w:rsidRDefault="002E3042" w:rsidP="002E3042">
      <w:pPr>
        <w:numPr>
          <w:ilvl w:val="1"/>
          <w:numId w:val="23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Monitorear</w:t>
      </w:r>
      <w:r w:rsidRPr="006E3BD0">
        <w:rPr>
          <w:rFonts w:ascii="Garamond" w:hAnsi="Garamond"/>
          <w:sz w:val="24"/>
          <w:szCs w:val="24"/>
        </w:rPr>
        <w:t xml:space="preserve"> el desarrollo regulatorio y la normativa secundaria que emita la Secretaría de Energía, a fin de adecuar contratos y estrategias comerciales a los nuevos requisitos.</w:t>
      </w:r>
    </w:p>
    <w:p w14:paraId="60754D88" w14:textId="77777777" w:rsidR="002E3042" w:rsidRPr="006E3BD0" w:rsidRDefault="002E3042" w:rsidP="002E3042">
      <w:pPr>
        <w:numPr>
          <w:ilvl w:val="1"/>
          <w:numId w:val="23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Evaluar</w:t>
      </w:r>
      <w:r w:rsidRPr="006E3BD0">
        <w:rPr>
          <w:rFonts w:ascii="Garamond" w:hAnsi="Garamond"/>
          <w:sz w:val="24"/>
          <w:szCs w:val="24"/>
        </w:rPr>
        <w:t xml:space="preserve"> planes de inversión considerando que la señal de ENS podría </w:t>
      </w:r>
      <w:r w:rsidRPr="006E3BD0">
        <w:rPr>
          <w:rFonts w:ascii="Garamond" w:hAnsi="Garamond"/>
          <w:b/>
          <w:bCs/>
          <w:sz w:val="24"/>
          <w:szCs w:val="24"/>
        </w:rPr>
        <w:t>incentivar</w:t>
      </w:r>
      <w:r w:rsidRPr="006E3BD0">
        <w:rPr>
          <w:rFonts w:ascii="Garamond" w:hAnsi="Garamond"/>
          <w:sz w:val="24"/>
          <w:szCs w:val="24"/>
        </w:rPr>
        <w:t xml:space="preserve"> nuevos proyectos de generación y modernización de plantas existentes.</w:t>
      </w:r>
    </w:p>
    <w:p w14:paraId="0F2C4495" w14:textId="77777777" w:rsidR="002E3042" w:rsidRPr="006E3BD0" w:rsidRDefault="002E3042" w:rsidP="002E3042">
      <w:pPr>
        <w:jc w:val="both"/>
        <w:rPr>
          <w:rFonts w:ascii="Garamond" w:hAnsi="Garamond"/>
          <w:sz w:val="24"/>
          <w:szCs w:val="24"/>
        </w:rPr>
      </w:pPr>
    </w:p>
    <w:p w14:paraId="304FCA5E" w14:textId="77777777" w:rsidR="002E3042" w:rsidRPr="006E3BD0" w:rsidRDefault="002E3042" w:rsidP="002E3042">
      <w:pPr>
        <w:jc w:val="both"/>
        <w:rPr>
          <w:rFonts w:ascii="Garamond" w:hAnsi="Garamond"/>
          <w:b/>
          <w:bCs/>
          <w:sz w:val="24"/>
          <w:szCs w:val="24"/>
        </w:rPr>
      </w:pPr>
      <w:r w:rsidRPr="006E3BD0">
        <w:rPr>
          <w:rFonts w:ascii="Garamond" w:hAnsi="Garamond"/>
          <w:b/>
          <w:bCs/>
          <w:sz w:val="24"/>
          <w:szCs w:val="24"/>
        </w:rPr>
        <w:t>VI. Perspectivas futuras</w:t>
      </w:r>
    </w:p>
    <w:p w14:paraId="3B3E9D3F" w14:textId="77777777" w:rsidR="006E3BD0" w:rsidRPr="006E3BD0" w:rsidRDefault="006E3BD0" w:rsidP="002E3042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00134182" w14:textId="77777777" w:rsidR="002E3042" w:rsidRPr="006E3BD0" w:rsidRDefault="002E3042" w:rsidP="002E3042">
      <w:pPr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La apertura que ofrece la Resolución SE 21/2025 abre la puerta a un mercado más </w:t>
      </w:r>
      <w:r w:rsidRPr="006E3BD0">
        <w:rPr>
          <w:rFonts w:ascii="Garamond" w:hAnsi="Garamond"/>
          <w:b/>
          <w:bCs/>
          <w:sz w:val="24"/>
          <w:szCs w:val="24"/>
        </w:rPr>
        <w:t>eficiente, competitivo y sostenible</w:t>
      </w:r>
      <w:r w:rsidRPr="006E3BD0">
        <w:rPr>
          <w:rFonts w:ascii="Garamond" w:hAnsi="Garamond"/>
          <w:sz w:val="24"/>
          <w:szCs w:val="24"/>
        </w:rPr>
        <w:t xml:space="preserve">, siempre y cuando se evite caer en </w:t>
      </w:r>
      <w:r w:rsidRPr="006E3BD0">
        <w:rPr>
          <w:rFonts w:ascii="Garamond" w:hAnsi="Garamond"/>
          <w:b/>
          <w:bCs/>
          <w:sz w:val="24"/>
          <w:szCs w:val="24"/>
        </w:rPr>
        <w:t>esquemas rígidos</w:t>
      </w:r>
      <w:r w:rsidRPr="006E3BD0">
        <w:rPr>
          <w:rFonts w:ascii="Garamond" w:hAnsi="Garamond"/>
          <w:sz w:val="24"/>
          <w:szCs w:val="24"/>
        </w:rPr>
        <w:t xml:space="preserve"> y se impulse un marco </w:t>
      </w:r>
      <w:r w:rsidRPr="006E3BD0">
        <w:rPr>
          <w:rFonts w:ascii="Garamond" w:hAnsi="Garamond"/>
          <w:b/>
          <w:bCs/>
          <w:sz w:val="24"/>
          <w:szCs w:val="24"/>
        </w:rPr>
        <w:t>dinámico y previsible</w:t>
      </w:r>
      <w:r w:rsidRPr="006E3BD0">
        <w:rPr>
          <w:rFonts w:ascii="Garamond" w:hAnsi="Garamond"/>
          <w:sz w:val="24"/>
          <w:szCs w:val="24"/>
        </w:rPr>
        <w:t xml:space="preserve">. </w:t>
      </w:r>
    </w:p>
    <w:p w14:paraId="1F3C3BAE" w14:textId="77777777" w:rsidR="006E3BD0" w:rsidRPr="006E3BD0" w:rsidRDefault="006E3BD0" w:rsidP="002E3042">
      <w:pPr>
        <w:jc w:val="both"/>
        <w:rPr>
          <w:rFonts w:ascii="Garamond" w:hAnsi="Garamond"/>
          <w:sz w:val="24"/>
          <w:szCs w:val="24"/>
        </w:rPr>
      </w:pPr>
    </w:p>
    <w:p w14:paraId="7DC4C508" w14:textId="77777777" w:rsidR="002E3042" w:rsidRPr="006E3BD0" w:rsidRDefault="002E3042" w:rsidP="002E3042">
      <w:pPr>
        <w:ind w:firstLine="708"/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El éxito de la nueva regulación dependerá, en gran medida, de la </w:t>
      </w:r>
      <w:r w:rsidRPr="006E3BD0">
        <w:rPr>
          <w:rFonts w:ascii="Garamond" w:hAnsi="Garamond"/>
          <w:b/>
          <w:bCs/>
          <w:sz w:val="24"/>
          <w:szCs w:val="24"/>
        </w:rPr>
        <w:t>consistencia</w:t>
      </w:r>
      <w:r w:rsidRPr="006E3BD0">
        <w:rPr>
          <w:rFonts w:ascii="Garamond" w:hAnsi="Garamond"/>
          <w:sz w:val="24"/>
          <w:szCs w:val="24"/>
        </w:rPr>
        <w:t xml:space="preserve"> con que se elaboren y apliquen las normas complementarias, y de la </w:t>
      </w:r>
      <w:r w:rsidRPr="006E3BD0">
        <w:rPr>
          <w:rFonts w:ascii="Garamond" w:hAnsi="Garamond"/>
          <w:b/>
          <w:bCs/>
          <w:sz w:val="24"/>
          <w:szCs w:val="24"/>
        </w:rPr>
        <w:t>colaboración</w:t>
      </w:r>
      <w:r w:rsidRPr="006E3BD0">
        <w:rPr>
          <w:rFonts w:ascii="Garamond" w:hAnsi="Garamond"/>
          <w:sz w:val="24"/>
          <w:szCs w:val="24"/>
        </w:rPr>
        <w:t xml:space="preserve"> entre los distintos actores del sector (Estado, generadores, distribuidores, grandes usuarios y otros participantes).</w:t>
      </w:r>
    </w:p>
    <w:p w14:paraId="3EE756AD" w14:textId="77777777" w:rsidR="006E3BD0" w:rsidRPr="006E3BD0" w:rsidRDefault="006E3BD0" w:rsidP="002E3042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00C7B594" w14:textId="77777777" w:rsidR="002E3042" w:rsidRPr="006E3BD0" w:rsidRDefault="002E3042" w:rsidP="002E3042">
      <w:pPr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 xml:space="preserve">Se recomienda a nuestros clientes </w:t>
      </w:r>
      <w:r w:rsidRPr="006E3BD0">
        <w:rPr>
          <w:rFonts w:ascii="Garamond" w:hAnsi="Garamond"/>
          <w:b/>
          <w:bCs/>
          <w:sz w:val="24"/>
          <w:szCs w:val="24"/>
        </w:rPr>
        <w:t>mantener una constante vigilancia</w:t>
      </w:r>
      <w:r w:rsidRPr="006E3BD0">
        <w:rPr>
          <w:rFonts w:ascii="Garamond" w:hAnsi="Garamond"/>
          <w:sz w:val="24"/>
          <w:szCs w:val="24"/>
        </w:rPr>
        <w:t xml:space="preserve"> sobre la evolución de esta regulación, asesorándose con especialistas en la materia para </w:t>
      </w:r>
      <w:r w:rsidRPr="006E3BD0">
        <w:rPr>
          <w:rFonts w:ascii="Garamond" w:hAnsi="Garamond"/>
          <w:b/>
          <w:bCs/>
          <w:sz w:val="24"/>
          <w:szCs w:val="24"/>
        </w:rPr>
        <w:t>maximizar oportunidades</w:t>
      </w:r>
      <w:r w:rsidRPr="006E3BD0">
        <w:rPr>
          <w:rFonts w:ascii="Garamond" w:hAnsi="Garamond"/>
          <w:sz w:val="24"/>
          <w:szCs w:val="24"/>
        </w:rPr>
        <w:t xml:space="preserve"> de negocio y </w:t>
      </w:r>
      <w:r w:rsidRPr="006E3BD0">
        <w:rPr>
          <w:rFonts w:ascii="Garamond" w:hAnsi="Garamond"/>
          <w:b/>
          <w:bCs/>
          <w:sz w:val="24"/>
          <w:szCs w:val="24"/>
        </w:rPr>
        <w:t>minimizar riesgos</w:t>
      </w:r>
      <w:r w:rsidRPr="006E3BD0">
        <w:rPr>
          <w:rFonts w:ascii="Garamond" w:hAnsi="Garamond"/>
          <w:sz w:val="24"/>
          <w:szCs w:val="24"/>
        </w:rPr>
        <w:t xml:space="preserve"> regulatorios y económicos.</w:t>
      </w:r>
    </w:p>
    <w:p w14:paraId="088D9EA6" w14:textId="77777777" w:rsidR="002E3042" w:rsidRPr="006E3BD0" w:rsidRDefault="002E3042" w:rsidP="002E3042">
      <w:pPr>
        <w:jc w:val="both"/>
        <w:rPr>
          <w:rFonts w:ascii="Garamond" w:hAnsi="Garamond"/>
          <w:sz w:val="24"/>
          <w:szCs w:val="24"/>
        </w:rPr>
      </w:pPr>
    </w:p>
    <w:p w14:paraId="0D5715FF" w14:textId="35A0060E" w:rsidR="00C269DC" w:rsidRPr="002E3042" w:rsidRDefault="002E3042" w:rsidP="002E3042">
      <w:pPr>
        <w:jc w:val="both"/>
        <w:rPr>
          <w:rFonts w:ascii="Garamond" w:hAnsi="Garamond"/>
          <w:sz w:val="24"/>
          <w:szCs w:val="24"/>
        </w:rPr>
      </w:pPr>
      <w:r w:rsidRPr="006E3BD0">
        <w:rPr>
          <w:rFonts w:ascii="Garamond" w:hAnsi="Garamond"/>
          <w:sz w:val="24"/>
          <w:szCs w:val="24"/>
        </w:rPr>
        <w:t>Atentamente,</w:t>
      </w:r>
      <w:r w:rsidR="00C269DC">
        <w:rPr>
          <w:rFonts w:ascii="Garamond" w:eastAsia="Calibri" w:hAnsi="Garamond" w:cs="Times New Roman"/>
          <w:noProof/>
          <w:szCs w:val="24"/>
          <w:lang w:eastAsia="en-US"/>
        </w:rPr>
        <w:drawing>
          <wp:anchor distT="0" distB="0" distL="114300" distR="114300" simplePos="0" relativeHeight="251658240" behindDoc="1" locked="0" layoutInCell="1" allowOverlap="1" wp14:anchorId="183159CE" wp14:editId="1DBB1535">
            <wp:simplePos x="0" y="0"/>
            <wp:positionH relativeFrom="page">
              <wp:posOffset>3865075</wp:posOffset>
            </wp:positionH>
            <wp:positionV relativeFrom="paragraph">
              <wp:posOffset>7987665</wp:posOffset>
            </wp:positionV>
            <wp:extent cx="3692696" cy="720725"/>
            <wp:effectExtent l="0" t="0" r="3175" b="3175"/>
            <wp:wrapThrough wrapText="bothSides">
              <wp:wrapPolygon edited="0">
                <wp:start x="0" y="0"/>
                <wp:lineTo x="0" y="21124"/>
                <wp:lineTo x="21507" y="21124"/>
                <wp:lineTo x="21507" y="0"/>
                <wp:lineTo x="0" y="0"/>
              </wp:wrapPolygon>
            </wp:wrapThrough>
            <wp:docPr id="101899035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696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69DC" w:rsidRPr="002E3042" w:rsidSect="00350176">
      <w:headerReference w:type="default" r:id="rId9"/>
      <w:headerReference w:type="first" r:id="rId10"/>
      <w:pgSz w:w="11906" w:h="16838"/>
      <w:pgMar w:top="1686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0B27" w14:textId="77777777" w:rsidR="00801205" w:rsidRDefault="00801205" w:rsidP="009C54E7">
      <w:r>
        <w:separator/>
      </w:r>
    </w:p>
  </w:endnote>
  <w:endnote w:type="continuationSeparator" w:id="0">
    <w:p w14:paraId="3E9377C2" w14:textId="77777777" w:rsidR="00801205" w:rsidRDefault="00801205" w:rsidP="009C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DC025" w14:textId="77777777" w:rsidR="00801205" w:rsidRDefault="00801205" w:rsidP="009C54E7">
      <w:r>
        <w:separator/>
      </w:r>
    </w:p>
  </w:footnote>
  <w:footnote w:type="continuationSeparator" w:id="0">
    <w:p w14:paraId="327440BB" w14:textId="77777777" w:rsidR="00801205" w:rsidRDefault="00801205" w:rsidP="009C5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56347"/>
      <w:docPartObj>
        <w:docPartGallery w:val="Page Numbers (Top of Page)"/>
        <w:docPartUnique/>
      </w:docPartObj>
    </w:sdtPr>
    <w:sdtContent>
      <w:p w14:paraId="21897140" w14:textId="61CA3BBE" w:rsidR="009C54E7" w:rsidRDefault="009C54E7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FD2" w:rsidRPr="00323FD2">
          <w:rPr>
            <w:noProof/>
            <w:lang w:val="es-ES"/>
          </w:rPr>
          <w:t>2</w:t>
        </w:r>
        <w:r>
          <w:fldChar w:fldCharType="end"/>
        </w:r>
      </w:p>
    </w:sdtContent>
  </w:sdt>
  <w:p w14:paraId="75B00D55" w14:textId="77777777" w:rsidR="009C54E7" w:rsidRDefault="009C54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483A" w14:textId="07AAD1BA" w:rsidR="009C54E7" w:rsidRDefault="0031316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2391B2D" wp14:editId="0C90BA7D">
          <wp:simplePos x="0" y="0"/>
          <wp:positionH relativeFrom="column">
            <wp:posOffset>-1089660</wp:posOffset>
          </wp:positionH>
          <wp:positionV relativeFrom="paragraph">
            <wp:posOffset>-440055</wp:posOffset>
          </wp:positionV>
          <wp:extent cx="7572375" cy="947420"/>
          <wp:effectExtent l="0" t="0" r="9525" b="5080"/>
          <wp:wrapNone/>
          <wp:docPr id="5" name="Imagen 5" descr="C:\Users\Compumar\AppData\Local\Microsoft\Windows\INetCache\Content.Word\banner nue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pumar\AppData\Local\Microsoft\Windows\INetCache\Content.Word\banner nue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D7A"/>
    <w:multiLevelType w:val="hybridMultilevel"/>
    <w:tmpl w:val="4A784F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693A"/>
    <w:multiLevelType w:val="hybridMultilevel"/>
    <w:tmpl w:val="2B62B1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D1309"/>
    <w:multiLevelType w:val="hybridMultilevel"/>
    <w:tmpl w:val="EFFC29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B1DAB"/>
    <w:multiLevelType w:val="hybridMultilevel"/>
    <w:tmpl w:val="EFD69E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15287"/>
    <w:multiLevelType w:val="multilevel"/>
    <w:tmpl w:val="9FE22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B15EE3"/>
    <w:multiLevelType w:val="multilevel"/>
    <w:tmpl w:val="EE26F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B13E9"/>
    <w:multiLevelType w:val="hybridMultilevel"/>
    <w:tmpl w:val="F84065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F6F8B"/>
    <w:multiLevelType w:val="hybridMultilevel"/>
    <w:tmpl w:val="F04ACB6A"/>
    <w:lvl w:ilvl="0" w:tplc="E81ACDC8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72F00"/>
    <w:multiLevelType w:val="multilevel"/>
    <w:tmpl w:val="AC42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3A7E64"/>
    <w:multiLevelType w:val="hybridMultilevel"/>
    <w:tmpl w:val="2B104F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51648"/>
    <w:multiLevelType w:val="multilevel"/>
    <w:tmpl w:val="EFD0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586817"/>
    <w:multiLevelType w:val="hybridMultilevel"/>
    <w:tmpl w:val="148CA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334"/>
    <w:multiLevelType w:val="hybridMultilevel"/>
    <w:tmpl w:val="B1C424B6"/>
    <w:lvl w:ilvl="0" w:tplc="132CE696">
      <w:start w:val="1"/>
      <w:numFmt w:val="bullet"/>
      <w:lvlText w:val="-"/>
      <w:lvlJc w:val="left"/>
      <w:pPr>
        <w:ind w:left="720" w:hanging="360"/>
      </w:pPr>
      <w:rPr>
        <w:rFonts w:ascii="Rockwell" w:eastAsia="Calibri" w:hAnsi="Rockwell" w:cs="Times New Roman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63BE9"/>
    <w:multiLevelType w:val="hybridMultilevel"/>
    <w:tmpl w:val="095A3C4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7345D"/>
    <w:multiLevelType w:val="hybridMultilevel"/>
    <w:tmpl w:val="020254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94E8C"/>
    <w:multiLevelType w:val="hybridMultilevel"/>
    <w:tmpl w:val="0632EC7A"/>
    <w:lvl w:ilvl="0" w:tplc="FC62C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D7926"/>
    <w:multiLevelType w:val="hybridMultilevel"/>
    <w:tmpl w:val="5210B3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535DA"/>
    <w:multiLevelType w:val="hybridMultilevel"/>
    <w:tmpl w:val="CB3A2924"/>
    <w:lvl w:ilvl="0" w:tplc="C9CC1D7E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E61D2"/>
    <w:multiLevelType w:val="hybridMultilevel"/>
    <w:tmpl w:val="FA9A79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B332F"/>
    <w:multiLevelType w:val="hybridMultilevel"/>
    <w:tmpl w:val="64A48032"/>
    <w:lvl w:ilvl="0" w:tplc="B352C1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877B04"/>
    <w:multiLevelType w:val="hybridMultilevel"/>
    <w:tmpl w:val="3886C32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0089B"/>
    <w:multiLevelType w:val="hybridMultilevel"/>
    <w:tmpl w:val="D50487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5212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376438">
    <w:abstractNumId w:val="18"/>
  </w:num>
  <w:num w:numId="3" w16cid:durableId="1642997648">
    <w:abstractNumId w:val="6"/>
  </w:num>
  <w:num w:numId="4" w16cid:durableId="1062290695">
    <w:abstractNumId w:val="0"/>
  </w:num>
  <w:num w:numId="5" w16cid:durableId="239677974">
    <w:abstractNumId w:val="17"/>
  </w:num>
  <w:num w:numId="6" w16cid:durableId="1937203321">
    <w:abstractNumId w:val="2"/>
  </w:num>
  <w:num w:numId="7" w16cid:durableId="1351688485">
    <w:abstractNumId w:val="16"/>
  </w:num>
  <w:num w:numId="8" w16cid:durableId="886332021">
    <w:abstractNumId w:val="21"/>
  </w:num>
  <w:num w:numId="9" w16cid:durableId="2131704119">
    <w:abstractNumId w:val="14"/>
  </w:num>
  <w:num w:numId="10" w16cid:durableId="17435306">
    <w:abstractNumId w:val="1"/>
  </w:num>
  <w:num w:numId="11" w16cid:durableId="680742282">
    <w:abstractNumId w:val="11"/>
  </w:num>
  <w:num w:numId="12" w16cid:durableId="1536577546">
    <w:abstractNumId w:val="3"/>
  </w:num>
  <w:num w:numId="13" w16cid:durableId="1350520379">
    <w:abstractNumId w:val="9"/>
  </w:num>
  <w:num w:numId="14" w16cid:durableId="698747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0409067">
    <w:abstractNumId w:val="19"/>
  </w:num>
  <w:num w:numId="16" w16cid:durableId="1650282623">
    <w:abstractNumId w:val="15"/>
  </w:num>
  <w:num w:numId="17" w16cid:durableId="16534110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7700499">
    <w:abstractNumId w:val="12"/>
  </w:num>
  <w:num w:numId="19" w16cid:durableId="2261864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4829499">
    <w:abstractNumId w:val="5"/>
  </w:num>
  <w:num w:numId="21" w16cid:durableId="521281292">
    <w:abstractNumId w:val="4"/>
  </w:num>
  <w:num w:numId="22" w16cid:durableId="1315257372">
    <w:abstractNumId w:val="10"/>
  </w:num>
  <w:num w:numId="23" w16cid:durableId="137500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21"/>
    <w:rsid w:val="00030A90"/>
    <w:rsid w:val="000546D2"/>
    <w:rsid w:val="00070587"/>
    <w:rsid w:val="00080940"/>
    <w:rsid w:val="000D0961"/>
    <w:rsid w:val="000D2F72"/>
    <w:rsid w:val="000F6C44"/>
    <w:rsid w:val="00111774"/>
    <w:rsid w:val="00160ADB"/>
    <w:rsid w:val="00195EAC"/>
    <w:rsid w:val="001A301B"/>
    <w:rsid w:val="001A32A0"/>
    <w:rsid w:val="001B69A2"/>
    <w:rsid w:val="001D7127"/>
    <w:rsid w:val="00214C11"/>
    <w:rsid w:val="00217461"/>
    <w:rsid w:val="00235E11"/>
    <w:rsid w:val="00236C27"/>
    <w:rsid w:val="00271E05"/>
    <w:rsid w:val="00280E83"/>
    <w:rsid w:val="002B0E0B"/>
    <w:rsid w:val="002E3042"/>
    <w:rsid w:val="002E3B24"/>
    <w:rsid w:val="002E5AED"/>
    <w:rsid w:val="002E7E9F"/>
    <w:rsid w:val="0031316E"/>
    <w:rsid w:val="00323FD2"/>
    <w:rsid w:val="00324B6E"/>
    <w:rsid w:val="00350176"/>
    <w:rsid w:val="00357F03"/>
    <w:rsid w:val="003760C5"/>
    <w:rsid w:val="003B315D"/>
    <w:rsid w:val="003D620D"/>
    <w:rsid w:val="003E0A43"/>
    <w:rsid w:val="00411077"/>
    <w:rsid w:val="0044708A"/>
    <w:rsid w:val="00462970"/>
    <w:rsid w:val="00464175"/>
    <w:rsid w:val="00464E6F"/>
    <w:rsid w:val="00480831"/>
    <w:rsid w:val="004B0816"/>
    <w:rsid w:val="0050712B"/>
    <w:rsid w:val="00594649"/>
    <w:rsid w:val="005E7B5D"/>
    <w:rsid w:val="005F3E86"/>
    <w:rsid w:val="00601672"/>
    <w:rsid w:val="00665A44"/>
    <w:rsid w:val="006A1AD2"/>
    <w:rsid w:val="006B72E3"/>
    <w:rsid w:val="006E3BD0"/>
    <w:rsid w:val="006E6097"/>
    <w:rsid w:val="006F128B"/>
    <w:rsid w:val="00710130"/>
    <w:rsid w:val="0073503E"/>
    <w:rsid w:val="00737C4B"/>
    <w:rsid w:val="00751A5B"/>
    <w:rsid w:val="00755164"/>
    <w:rsid w:val="007570B5"/>
    <w:rsid w:val="007B1CD0"/>
    <w:rsid w:val="007D238A"/>
    <w:rsid w:val="007F233C"/>
    <w:rsid w:val="007F35D1"/>
    <w:rsid w:val="00801205"/>
    <w:rsid w:val="008D3F8A"/>
    <w:rsid w:val="008F5C0C"/>
    <w:rsid w:val="009016A2"/>
    <w:rsid w:val="00934E32"/>
    <w:rsid w:val="00991A82"/>
    <w:rsid w:val="009A07CD"/>
    <w:rsid w:val="009C54E7"/>
    <w:rsid w:val="009E0627"/>
    <w:rsid w:val="009E2BE7"/>
    <w:rsid w:val="009F38DA"/>
    <w:rsid w:val="00A1595F"/>
    <w:rsid w:val="00A41C23"/>
    <w:rsid w:val="00A50D68"/>
    <w:rsid w:val="00A62BC7"/>
    <w:rsid w:val="00AA3666"/>
    <w:rsid w:val="00AC5EAE"/>
    <w:rsid w:val="00AD625C"/>
    <w:rsid w:val="00AF7764"/>
    <w:rsid w:val="00B12D8C"/>
    <w:rsid w:val="00B21AFB"/>
    <w:rsid w:val="00B25B0F"/>
    <w:rsid w:val="00B341CD"/>
    <w:rsid w:val="00B70D86"/>
    <w:rsid w:val="00B75C10"/>
    <w:rsid w:val="00BA1FAB"/>
    <w:rsid w:val="00BA23BB"/>
    <w:rsid w:val="00BB242F"/>
    <w:rsid w:val="00BF13BD"/>
    <w:rsid w:val="00BF5EBA"/>
    <w:rsid w:val="00BF7F7E"/>
    <w:rsid w:val="00C2265B"/>
    <w:rsid w:val="00C24436"/>
    <w:rsid w:val="00C269DC"/>
    <w:rsid w:val="00C27EE5"/>
    <w:rsid w:val="00C323E3"/>
    <w:rsid w:val="00C539C4"/>
    <w:rsid w:val="00C927D2"/>
    <w:rsid w:val="00D256E4"/>
    <w:rsid w:val="00D41FED"/>
    <w:rsid w:val="00D44AE6"/>
    <w:rsid w:val="00D70221"/>
    <w:rsid w:val="00DA5BFC"/>
    <w:rsid w:val="00DD25DF"/>
    <w:rsid w:val="00E02B26"/>
    <w:rsid w:val="00E73D3A"/>
    <w:rsid w:val="00EC5C4D"/>
    <w:rsid w:val="00EE38F0"/>
    <w:rsid w:val="00EE4AA9"/>
    <w:rsid w:val="00F6168C"/>
    <w:rsid w:val="00F7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CEAA4"/>
  <w15:chartTrackingRefBased/>
  <w15:docId w15:val="{0AB92EA5-F02C-44AD-902C-CAB8F528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221"/>
    <w:pPr>
      <w:spacing w:after="0" w:line="240" w:lineRule="auto"/>
    </w:pPr>
    <w:rPr>
      <w:rFonts w:ascii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0221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9C54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54E7"/>
    <w:rPr>
      <w:rFonts w:ascii="Calibri" w:hAnsi="Calibri" w:cs="Calibri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9C54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4E7"/>
    <w:rPr>
      <w:rFonts w:ascii="Calibri" w:hAnsi="Calibri" w:cs="Calibri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36C27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6C27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236C2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595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bomchil.us21.list-manage.com/track/click?u=bfae5fd29dfb9083a86a0924f&amp;id=91d927d4da&amp;e=dec24604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1228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Petitto</dc:creator>
  <cp:keywords/>
  <dc:description/>
  <cp:lastModifiedBy>ramiro petitto</cp:lastModifiedBy>
  <cp:revision>3</cp:revision>
  <cp:lastPrinted>2022-09-01T20:47:00Z</cp:lastPrinted>
  <dcterms:created xsi:type="dcterms:W3CDTF">2025-02-14T14:57:00Z</dcterms:created>
  <dcterms:modified xsi:type="dcterms:W3CDTF">2025-02-14T16:46:00Z</dcterms:modified>
</cp:coreProperties>
</file>