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FB3" w:rsidRPr="00195FB3" w:rsidRDefault="00195FB3" w:rsidP="00195FB3">
      <w:pPr>
        <w:spacing w:line="240" w:lineRule="auto"/>
        <w:jc w:val="both"/>
        <w:rPr>
          <w:rFonts w:ascii="Calibri" w:eastAsia="Times New Roman" w:hAnsi="Calibri" w:cs="Calibri"/>
          <w:b/>
          <w:bCs/>
          <w:color w:val="555555"/>
          <w:sz w:val="21"/>
          <w:szCs w:val="21"/>
          <w:lang w:eastAsia="es-AR"/>
        </w:rPr>
      </w:pPr>
      <w:r w:rsidRPr="00195FB3">
        <w:rPr>
          <w:rFonts w:ascii="Calibri" w:eastAsia="Times New Roman" w:hAnsi="Calibri" w:cs="Calibri"/>
          <w:b/>
          <w:bCs/>
          <w:color w:val="555555"/>
          <w:sz w:val="21"/>
          <w:szCs w:val="21"/>
          <w:lang w:eastAsia="es-AR"/>
        </w:rPr>
        <w:t>Resolución I.N.A.E.S. 8</w:t>
      </w:r>
      <w:bookmarkStart w:id="0" w:name="_GoBack"/>
      <w:bookmarkEnd w:id="0"/>
      <w:r w:rsidRPr="00195FB3">
        <w:rPr>
          <w:rFonts w:ascii="Calibri" w:eastAsia="Times New Roman" w:hAnsi="Calibri" w:cs="Calibri"/>
          <w:b/>
          <w:bCs/>
          <w:color w:val="555555"/>
          <w:sz w:val="21"/>
          <w:szCs w:val="21"/>
          <w:lang w:eastAsia="es-AR"/>
        </w:rPr>
        <w:t>06/18</w:t>
      </w:r>
    </w:p>
    <w:p w:rsidR="00195FB3" w:rsidRDefault="00195FB3" w:rsidP="00195FB3">
      <w:pPr>
        <w:spacing w:after="0" w:line="240" w:lineRule="auto"/>
        <w:jc w:val="both"/>
        <w:outlineLvl w:val="1"/>
        <w:rPr>
          <w:rFonts w:ascii="Calibri" w:eastAsia="Times New Roman" w:hAnsi="Calibri" w:cs="Calibri"/>
          <w:b/>
          <w:bCs/>
          <w:color w:val="004080"/>
          <w:sz w:val="27"/>
          <w:szCs w:val="27"/>
          <w:lang w:eastAsia="es-AR"/>
        </w:rPr>
      </w:pPr>
      <w:r w:rsidRPr="00195FB3">
        <w:rPr>
          <w:rFonts w:ascii="Calibri" w:eastAsia="Times New Roman" w:hAnsi="Calibri" w:cs="Calibri"/>
          <w:b/>
          <w:bCs/>
          <w:color w:val="004080"/>
          <w:sz w:val="27"/>
          <w:szCs w:val="27"/>
          <w:lang w:eastAsia="es-AR"/>
        </w:rPr>
        <w:t>RESOLUCION I.N.A.E.S. 806/18</w:t>
      </w:r>
    </w:p>
    <w:p w:rsidR="00195FB3" w:rsidRDefault="00195FB3" w:rsidP="00195FB3">
      <w:pPr>
        <w:spacing w:after="0" w:line="240" w:lineRule="auto"/>
        <w:jc w:val="both"/>
        <w:outlineLvl w:val="1"/>
        <w:rPr>
          <w:rFonts w:ascii="Calibri" w:eastAsia="Times New Roman" w:hAnsi="Calibri" w:cs="Calibri"/>
          <w:b/>
          <w:bCs/>
          <w:color w:val="004080"/>
          <w:sz w:val="27"/>
          <w:szCs w:val="27"/>
          <w:lang w:eastAsia="es-AR"/>
        </w:rPr>
      </w:pPr>
      <w:r w:rsidRPr="00195FB3">
        <w:rPr>
          <w:rFonts w:ascii="Calibri" w:eastAsia="Times New Roman" w:hAnsi="Calibri" w:cs="Calibri"/>
          <w:b/>
          <w:bCs/>
          <w:color w:val="004080"/>
          <w:sz w:val="27"/>
          <w:szCs w:val="27"/>
          <w:lang w:eastAsia="es-AR"/>
        </w:rPr>
        <w:t>B</w:t>
      </w:r>
      <w:r>
        <w:rPr>
          <w:rFonts w:ascii="Calibri" w:eastAsia="Times New Roman" w:hAnsi="Calibri" w:cs="Calibri"/>
          <w:b/>
          <w:bCs/>
          <w:color w:val="004080"/>
          <w:sz w:val="27"/>
          <w:szCs w:val="27"/>
          <w:lang w:eastAsia="es-AR"/>
        </w:rPr>
        <w:t>uenos Aires, 4 de abril de 2018</w:t>
      </w:r>
    </w:p>
    <w:p w:rsidR="00195FB3" w:rsidRDefault="00195FB3" w:rsidP="00195FB3">
      <w:pPr>
        <w:spacing w:after="0" w:line="240" w:lineRule="auto"/>
        <w:jc w:val="both"/>
        <w:outlineLvl w:val="1"/>
        <w:rPr>
          <w:rFonts w:ascii="Calibri" w:eastAsia="Times New Roman" w:hAnsi="Calibri" w:cs="Calibri"/>
          <w:b/>
          <w:bCs/>
          <w:color w:val="004080"/>
          <w:sz w:val="27"/>
          <w:szCs w:val="27"/>
          <w:lang w:eastAsia="es-AR"/>
        </w:rPr>
      </w:pPr>
      <w:r>
        <w:rPr>
          <w:rFonts w:ascii="Calibri" w:eastAsia="Times New Roman" w:hAnsi="Calibri" w:cs="Calibri"/>
          <w:b/>
          <w:bCs/>
          <w:color w:val="004080"/>
          <w:sz w:val="27"/>
          <w:szCs w:val="27"/>
          <w:lang w:eastAsia="es-AR"/>
        </w:rPr>
        <w:t>B.O.: 13/4/18 </w:t>
      </w:r>
    </w:p>
    <w:p w:rsidR="00195FB3" w:rsidRPr="00195FB3" w:rsidRDefault="00195FB3" w:rsidP="00195FB3">
      <w:pPr>
        <w:spacing w:after="0" w:line="240" w:lineRule="auto"/>
        <w:jc w:val="both"/>
        <w:outlineLvl w:val="1"/>
        <w:rPr>
          <w:rFonts w:ascii="Calibri" w:eastAsia="Times New Roman" w:hAnsi="Calibri" w:cs="Calibri"/>
          <w:b/>
          <w:bCs/>
          <w:color w:val="004080"/>
          <w:sz w:val="27"/>
          <w:szCs w:val="27"/>
          <w:lang w:eastAsia="es-AR"/>
        </w:rPr>
      </w:pPr>
      <w:r w:rsidRPr="00195FB3">
        <w:rPr>
          <w:rFonts w:ascii="Calibri" w:eastAsia="Times New Roman" w:hAnsi="Calibri" w:cs="Calibri"/>
          <w:b/>
          <w:bCs/>
          <w:color w:val="004080"/>
          <w:sz w:val="27"/>
          <w:szCs w:val="27"/>
          <w:lang w:eastAsia="es-AR"/>
        </w:rPr>
        <w:t>Vigencia: 13/4/18</w:t>
      </w:r>
    </w:p>
    <w:p w:rsidR="00195FB3" w:rsidRPr="00195FB3" w:rsidRDefault="00195FB3" w:rsidP="00195FB3">
      <w:pPr>
        <w:spacing w:before="240" w:after="240" w:line="300" w:lineRule="atLeast"/>
        <w:jc w:val="both"/>
        <w:rPr>
          <w:rFonts w:ascii="Calibri" w:eastAsia="Times New Roman" w:hAnsi="Calibri" w:cs="Calibri"/>
          <w:b/>
          <w:bCs/>
          <w:color w:val="555555"/>
          <w:sz w:val="21"/>
          <w:szCs w:val="21"/>
          <w:lang w:eastAsia="es-AR"/>
        </w:rPr>
      </w:pPr>
      <w:r w:rsidRPr="00195FB3">
        <w:rPr>
          <w:rFonts w:ascii="Calibri" w:eastAsia="Times New Roman" w:hAnsi="Calibri" w:cs="Calibri"/>
          <w:b/>
          <w:bCs/>
          <w:color w:val="555555"/>
          <w:sz w:val="21"/>
          <w:szCs w:val="21"/>
          <w:lang w:eastAsia="es-AR"/>
        </w:rPr>
        <w:t>Cooperativas y mutuales. Encubrimiento y lavado de activos de origen delictivo. Ley 25.246. Medidas para prevenir, detectar y reportar los hechos. Res. U.I.F. 11/12. Reporte de operaciones sospechosas. Deber de presentación de declaración jurada ante el I.N.A.E.S.</w:t>
      </w:r>
    </w:p>
    <w:p w:rsidR="00195FB3" w:rsidRPr="00195FB3" w:rsidRDefault="00195FB3" w:rsidP="00195FB3">
      <w:pPr>
        <w:spacing w:after="0" w:line="300" w:lineRule="atLeast"/>
        <w:jc w:val="both"/>
        <w:rPr>
          <w:rFonts w:ascii="Calibri" w:eastAsia="Times New Roman" w:hAnsi="Calibri" w:cs="Calibri"/>
          <w:color w:val="555555"/>
          <w:sz w:val="21"/>
          <w:szCs w:val="21"/>
          <w:lang w:eastAsia="es-AR"/>
        </w:rPr>
      </w:pPr>
      <w:r w:rsidRPr="00195FB3">
        <w:rPr>
          <w:rFonts w:ascii="Calibri" w:eastAsia="Times New Roman" w:hAnsi="Calibri" w:cs="Calibri"/>
          <w:b/>
          <w:bCs/>
          <w:color w:val="555555"/>
          <w:sz w:val="21"/>
          <w:szCs w:val="21"/>
          <w:lang w:eastAsia="es-AR"/>
        </w:rPr>
        <w:t>Art. 1</w:t>
      </w:r>
      <w:r w:rsidRPr="00195FB3">
        <w:rPr>
          <w:rFonts w:ascii="Calibri" w:eastAsia="Times New Roman" w:hAnsi="Calibri" w:cs="Calibri"/>
          <w:color w:val="555555"/>
          <w:sz w:val="21"/>
          <w:szCs w:val="21"/>
          <w:lang w:eastAsia="es-AR"/>
        </w:rPr>
        <w:t xml:space="preserve"> – Las cooperativas y mutuales comprendidas en la Res. U.I.F. 11/12 o en cualquier otra que la sustituya o complemente, deberán informar al Instituto Nacional de </w:t>
      </w:r>
      <w:proofErr w:type="spellStart"/>
      <w:r w:rsidRPr="00195FB3">
        <w:rPr>
          <w:rFonts w:ascii="Calibri" w:eastAsia="Times New Roman" w:hAnsi="Calibri" w:cs="Calibri"/>
          <w:color w:val="555555"/>
          <w:sz w:val="21"/>
          <w:szCs w:val="21"/>
          <w:lang w:eastAsia="es-AR"/>
        </w:rPr>
        <w:t>Asociativismo</w:t>
      </w:r>
      <w:proofErr w:type="spellEnd"/>
      <w:r w:rsidRPr="00195FB3">
        <w:rPr>
          <w:rFonts w:ascii="Calibri" w:eastAsia="Times New Roman" w:hAnsi="Calibri" w:cs="Calibri"/>
          <w:color w:val="555555"/>
          <w:sz w:val="21"/>
          <w:szCs w:val="21"/>
          <w:lang w:eastAsia="es-AR"/>
        </w:rPr>
        <w:t xml:space="preserve"> y Economía Social, bajo la forma de declaración jurada, la cantidad de “Reportes de operaciones sospechosas (ROS)”, de lavado de activos o de financiación del terrorismo, que hayan presentado ante la Unidad de Información Financiera. Asimismo, en el caso de no haber presentado ningún ROS en el período, deberán efectuar un reporte negativo confirmando esa situación.</w:t>
      </w:r>
    </w:p>
    <w:p w:rsidR="00195FB3" w:rsidRPr="00195FB3" w:rsidRDefault="00195FB3" w:rsidP="00195FB3">
      <w:pPr>
        <w:spacing w:after="0" w:line="300" w:lineRule="atLeast"/>
        <w:jc w:val="both"/>
        <w:rPr>
          <w:rFonts w:ascii="Calibri" w:eastAsia="Times New Roman" w:hAnsi="Calibri" w:cs="Calibri"/>
          <w:color w:val="555555"/>
          <w:sz w:val="21"/>
          <w:szCs w:val="21"/>
          <w:lang w:eastAsia="es-AR"/>
        </w:rPr>
      </w:pPr>
      <w:r w:rsidRPr="00195FB3">
        <w:rPr>
          <w:rFonts w:ascii="Calibri" w:eastAsia="Times New Roman" w:hAnsi="Calibri" w:cs="Calibri"/>
          <w:b/>
          <w:bCs/>
          <w:color w:val="555555"/>
          <w:sz w:val="21"/>
          <w:szCs w:val="21"/>
          <w:lang w:eastAsia="es-AR"/>
        </w:rPr>
        <w:t>Art. 2</w:t>
      </w:r>
      <w:r w:rsidRPr="00195FB3">
        <w:rPr>
          <w:rFonts w:ascii="Calibri" w:eastAsia="Times New Roman" w:hAnsi="Calibri" w:cs="Calibri"/>
          <w:color w:val="555555"/>
          <w:sz w:val="21"/>
          <w:szCs w:val="21"/>
          <w:lang w:eastAsia="es-AR"/>
        </w:rPr>
        <w:t> – Para cada reporte se informarán los datos que correspondan según el detalle que se describe en el Anexo (IF-2017-11591880-APN-SC#INAES) “Reportes de operaciones sospechosas”, que se aprueba por la presente resolución.</w:t>
      </w:r>
    </w:p>
    <w:p w:rsidR="00195FB3" w:rsidRPr="00195FB3" w:rsidRDefault="00195FB3" w:rsidP="00195FB3">
      <w:pPr>
        <w:spacing w:after="0" w:line="300" w:lineRule="atLeast"/>
        <w:jc w:val="both"/>
        <w:rPr>
          <w:rFonts w:ascii="Calibri" w:eastAsia="Times New Roman" w:hAnsi="Calibri" w:cs="Calibri"/>
          <w:color w:val="555555"/>
          <w:sz w:val="21"/>
          <w:szCs w:val="21"/>
          <w:lang w:eastAsia="es-AR"/>
        </w:rPr>
      </w:pPr>
      <w:r w:rsidRPr="00195FB3">
        <w:rPr>
          <w:rFonts w:ascii="Calibri" w:eastAsia="Times New Roman" w:hAnsi="Calibri" w:cs="Calibri"/>
          <w:b/>
          <w:bCs/>
          <w:color w:val="555555"/>
          <w:sz w:val="21"/>
          <w:szCs w:val="21"/>
          <w:lang w:eastAsia="es-AR"/>
        </w:rPr>
        <w:t>Art. 3</w:t>
      </w:r>
      <w:r w:rsidRPr="00195FB3">
        <w:rPr>
          <w:rFonts w:ascii="Calibri" w:eastAsia="Times New Roman" w:hAnsi="Calibri" w:cs="Calibri"/>
          <w:color w:val="555555"/>
          <w:sz w:val="21"/>
          <w:szCs w:val="21"/>
          <w:lang w:eastAsia="es-AR"/>
        </w:rPr>
        <w:t xml:space="preserve"> – La información indicada en el art. 1 deberá ser presentada trimestralmente, dentro del plazo que comprende cada ejercicio social y dentro de los diez días corridos posteriores a la finalización del trimestre, por transmisión electrónica al sitio web del Instituto Nacional de </w:t>
      </w:r>
      <w:proofErr w:type="spellStart"/>
      <w:r w:rsidRPr="00195FB3">
        <w:rPr>
          <w:rFonts w:ascii="Calibri" w:eastAsia="Times New Roman" w:hAnsi="Calibri" w:cs="Calibri"/>
          <w:color w:val="555555"/>
          <w:sz w:val="21"/>
          <w:szCs w:val="21"/>
          <w:lang w:eastAsia="es-AR"/>
        </w:rPr>
        <w:t>Asociativismo</w:t>
      </w:r>
      <w:proofErr w:type="spellEnd"/>
      <w:r w:rsidRPr="00195FB3">
        <w:rPr>
          <w:rFonts w:ascii="Calibri" w:eastAsia="Times New Roman" w:hAnsi="Calibri" w:cs="Calibri"/>
          <w:color w:val="555555"/>
          <w:sz w:val="21"/>
          <w:szCs w:val="21"/>
          <w:lang w:eastAsia="es-AR"/>
        </w:rPr>
        <w:t xml:space="preserve"> y Economía Social.</w:t>
      </w:r>
    </w:p>
    <w:p w:rsidR="00195FB3" w:rsidRPr="00195FB3" w:rsidRDefault="00195FB3" w:rsidP="00195FB3">
      <w:pPr>
        <w:spacing w:after="0" w:line="300" w:lineRule="atLeast"/>
        <w:jc w:val="both"/>
        <w:rPr>
          <w:rFonts w:ascii="Calibri" w:eastAsia="Times New Roman" w:hAnsi="Calibri" w:cs="Calibri"/>
          <w:color w:val="555555"/>
          <w:sz w:val="21"/>
          <w:szCs w:val="21"/>
          <w:lang w:eastAsia="es-AR"/>
        </w:rPr>
      </w:pPr>
      <w:r w:rsidRPr="00195FB3">
        <w:rPr>
          <w:rFonts w:ascii="Calibri" w:eastAsia="Times New Roman" w:hAnsi="Calibri" w:cs="Calibri"/>
          <w:b/>
          <w:bCs/>
          <w:color w:val="555555"/>
          <w:sz w:val="21"/>
          <w:szCs w:val="21"/>
          <w:lang w:eastAsia="es-AR"/>
        </w:rPr>
        <w:t>Art. 4</w:t>
      </w:r>
      <w:r w:rsidRPr="00195FB3">
        <w:rPr>
          <w:rFonts w:ascii="Calibri" w:eastAsia="Times New Roman" w:hAnsi="Calibri" w:cs="Calibri"/>
          <w:color w:val="555555"/>
          <w:sz w:val="21"/>
          <w:szCs w:val="21"/>
          <w:lang w:eastAsia="es-AR"/>
        </w:rPr>
        <w:t> – De manera independiente al plazo establecido en el art. 3, las cooperativas y mutuales deben presentar como información de inicio, dentro de los sesenta días corridos desde la entrada en vigencia de la presente resolución, lo indicado en el art. 1 para los trimestres correspondientes al presente año.</w:t>
      </w:r>
    </w:p>
    <w:p w:rsidR="00195FB3" w:rsidRPr="00195FB3" w:rsidRDefault="00195FB3" w:rsidP="00195FB3">
      <w:pPr>
        <w:spacing w:after="0" w:line="300" w:lineRule="atLeast"/>
        <w:jc w:val="both"/>
        <w:rPr>
          <w:rFonts w:ascii="Calibri" w:eastAsia="Times New Roman" w:hAnsi="Calibri" w:cs="Calibri"/>
          <w:color w:val="555555"/>
          <w:sz w:val="21"/>
          <w:szCs w:val="21"/>
          <w:lang w:eastAsia="es-AR"/>
        </w:rPr>
      </w:pPr>
      <w:r w:rsidRPr="00195FB3">
        <w:rPr>
          <w:rFonts w:ascii="Calibri" w:eastAsia="Times New Roman" w:hAnsi="Calibri" w:cs="Calibri"/>
          <w:b/>
          <w:bCs/>
          <w:color w:val="555555"/>
          <w:sz w:val="21"/>
          <w:szCs w:val="21"/>
          <w:lang w:eastAsia="es-AR"/>
        </w:rPr>
        <w:t>Art. 5 </w:t>
      </w:r>
      <w:r w:rsidRPr="00195FB3">
        <w:rPr>
          <w:rFonts w:ascii="Calibri" w:eastAsia="Times New Roman" w:hAnsi="Calibri" w:cs="Calibri"/>
          <w:color w:val="555555"/>
          <w:sz w:val="21"/>
          <w:szCs w:val="21"/>
          <w:lang w:eastAsia="es-AR"/>
        </w:rPr>
        <w:t>– De forma.</w:t>
      </w:r>
    </w:p>
    <w:p w:rsidR="000C169B" w:rsidRDefault="006C2D49"/>
    <w:sectPr w:rsidR="000C16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B3"/>
    <w:rsid w:val="000973CE"/>
    <w:rsid w:val="00195FB3"/>
    <w:rsid w:val="006C2D49"/>
    <w:rsid w:val="00EA05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95FB3"/>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95FB3"/>
    <w:rPr>
      <w:rFonts w:ascii="Times New Roman" w:eastAsia="Times New Roman" w:hAnsi="Times New Roman" w:cs="Times New Roman"/>
      <w:b/>
      <w:bCs/>
      <w:sz w:val="36"/>
      <w:szCs w:val="36"/>
      <w:lang w:eastAsia="es-AR"/>
    </w:rPr>
  </w:style>
  <w:style w:type="paragraph" w:customStyle="1" w:styleId="copete">
    <w:name w:val="copete"/>
    <w:basedOn w:val="Normal"/>
    <w:rsid w:val="00195FB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195FB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195F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95FB3"/>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95FB3"/>
    <w:rPr>
      <w:rFonts w:ascii="Times New Roman" w:eastAsia="Times New Roman" w:hAnsi="Times New Roman" w:cs="Times New Roman"/>
      <w:b/>
      <w:bCs/>
      <w:sz w:val="36"/>
      <w:szCs w:val="36"/>
      <w:lang w:eastAsia="es-AR"/>
    </w:rPr>
  </w:style>
  <w:style w:type="paragraph" w:customStyle="1" w:styleId="copete">
    <w:name w:val="copete"/>
    <w:basedOn w:val="Normal"/>
    <w:rsid w:val="00195FB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195FB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195F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530806">
      <w:bodyDiv w:val="1"/>
      <w:marLeft w:val="0"/>
      <w:marRight w:val="0"/>
      <w:marTop w:val="0"/>
      <w:marBottom w:val="0"/>
      <w:divBdr>
        <w:top w:val="none" w:sz="0" w:space="0" w:color="auto"/>
        <w:left w:val="none" w:sz="0" w:space="0" w:color="auto"/>
        <w:bottom w:val="none" w:sz="0" w:space="0" w:color="auto"/>
        <w:right w:val="none" w:sz="0" w:space="0" w:color="auto"/>
      </w:divBdr>
      <w:divsChild>
        <w:div w:id="1432815530">
          <w:marLeft w:val="0"/>
          <w:marRight w:val="0"/>
          <w:marTop w:val="600"/>
          <w:marBottom w:val="300"/>
          <w:divBdr>
            <w:top w:val="single" w:sz="12" w:space="4" w:color="000000"/>
            <w:left w:val="single" w:sz="12" w:space="4" w:color="000000"/>
            <w:bottom w:val="single" w:sz="12" w:space="4" w:color="000000"/>
            <w:right w:val="single" w:sz="12" w:space="4"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279</Words>
  <Characters>1536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cp:lastPrinted>2018-04-17T16:32:00Z</cp:lastPrinted>
  <dcterms:created xsi:type="dcterms:W3CDTF">2018-04-17T16:11:00Z</dcterms:created>
  <dcterms:modified xsi:type="dcterms:W3CDTF">2018-04-17T16:39:00Z</dcterms:modified>
</cp:coreProperties>
</file>